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637540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0"/>
          <w:szCs w:val="20"/>
          <w:b w:val="1"/>
          <w:bCs w:val="1"/>
          <w:color w:val="auto"/>
        </w:rPr>
        <w:t>of the Securities Exchange Act of 1934</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April 30, 2026</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A. O. Smith Corporation</w:t>
      </w:r>
    </w:p>
    <w:p>
      <w:pPr>
        <w:spacing w:after="0" w:line="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29" w:lineRule="exact"/>
        <w:rPr>
          <w:sz w:val="24"/>
          <w:szCs w:val="24"/>
          <w:color w:val="auto"/>
        </w:rPr>
      </w:pPr>
    </w:p>
    <w:tbl>
      <w:tblPr>
        <w:tblLayout w:type="fixed"/>
        <w:tblInd w:w="1660" w:type="dxa"/>
        <w:tblCellMar>
          <w:top w:w="0" w:type="dxa"/>
          <w:left w:w="0" w:type="dxa"/>
          <w:bottom w:w="0" w:type="dxa"/>
          <w:right w:w="0" w:type="dxa"/>
        </w:tblCellMar>
      </w:tblPr>
      <w:tr>
        <w:trPr>
          <w:trHeight w:val="210"/>
        </w:trPr>
        <w:tc>
          <w:tcPr>
            <w:tcW w:w="1900" w:type="dxa"/>
            <w:vAlign w:val="bottom"/>
          </w:tcPr>
          <w:p>
            <w:pPr>
              <w:spacing w:after="0"/>
              <w:rPr>
                <w:sz w:val="18"/>
                <w:szCs w:val="18"/>
                <w:color w:val="auto"/>
              </w:rPr>
            </w:pPr>
          </w:p>
        </w:tc>
        <w:tc>
          <w:tcPr>
            <w:tcW w:w="426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18"/>
                <w:szCs w:val="18"/>
                <w:color w:val="auto"/>
              </w:rPr>
            </w:pPr>
          </w:p>
        </w:tc>
      </w:tr>
      <w:tr>
        <w:trPr>
          <w:trHeight w:val="282"/>
        </w:trPr>
        <w:tc>
          <w:tcPr>
            <w:tcW w:w="1900" w:type="dxa"/>
            <w:vAlign w:val="bottom"/>
          </w:tcPr>
          <w:p>
            <w:pPr>
              <w:jc w:val="center"/>
              <w:ind w:right="179"/>
              <w:spacing w:after="0"/>
              <w:rPr>
                <w:sz w:val="20"/>
                <w:szCs w:val="20"/>
                <w:color w:val="auto"/>
              </w:rPr>
            </w:pPr>
            <w:r>
              <w:rPr>
                <w:rFonts w:ascii="Times New Roman" w:cs="Times New Roman" w:eastAsia="Times New Roman" w:hAnsi="Times New Roman"/>
                <w:sz w:val="20"/>
                <w:szCs w:val="20"/>
                <w:b w:val="1"/>
                <w:bCs w:val="1"/>
                <w:color w:val="auto"/>
                <w:w w:val="98"/>
              </w:rPr>
              <w:t>Delaware</w:t>
            </w:r>
          </w:p>
        </w:tc>
        <w:tc>
          <w:tcPr>
            <w:tcW w:w="4260" w:type="dxa"/>
            <w:vAlign w:val="bottom"/>
          </w:tcPr>
          <w:p>
            <w:pPr>
              <w:jc w:val="center"/>
              <w:ind w:right="83"/>
              <w:spacing w:after="0"/>
              <w:rPr>
                <w:sz w:val="20"/>
                <w:szCs w:val="20"/>
                <w:color w:val="auto"/>
              </w:rPr>
            </w:pPr>
            <w:r>
              <w:rPr>
                <w:rFonts w:ascii="Times New Roman" w:cs="Times New Roman" w:eastAsia="Times New Roman" w:hAnsi="Times New Roman"/>
                <w:sz w:val="20"/>
                <w:szCs w:val="20"/>
                <w:b w:val="1"/>
                <w:bCs w:val="1"/>
                <w:color w:val="auto"/>
                <w:w w:val="98"/>
              </w:rPr>
              <w:t>1-475</w:t>
            </w:r>
          </w:p>
        </w:tc>
        <w:tc>
          <w:tcPr>
            <w:tcW w:w="1500" w:type="dxa"/>
            <w:vAlign w:val="bottom"/>
          </w:tcPr>
          <w:p>
            <w:pPr>
              <w:jc w:val="center"/>
              <w:ind w:left="279"/>
              <w:spacing w:after="0"/>
              <w:rPr>
                <w:sz w:val="20"/>
                <w:szCs w:val="20"/>
                <w:color w:val="auto"/>
              </w:rPr>
            </w:pPr>
            <w:r>
              <w:rPr>
                <w:rFonts w:ascii="Times New Roman" w:cs="Times New Roman" w:eastAsia="Times New Roman" w:hAnsi="Times New Roman"/>
                <w:sz w:val="20"/>
                <w:szCs w:val="20"/>
                <w:b w:val="1"/>
                <w:bCs w:val="1"/>
                <w:color w:val="auto"/>
                <w:w w:val="97"/>
              </w:rPr>
              <w:t>39-0619790</w:t>
            </w:r>
          </w:p>
        </w:tc>
      </w:tr>
      <w:tr>
        <w:trPr>
          <w:trHeight w:val="212"/>
        </w:trPr>
        <w:tc>
          <w:tcPr>
            <w:tcW w:w="190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26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500" w:type="dxa"/>
            <w:vAlign w:val="bottom"/>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90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260" w:type="dxa"/>
            <w:vAlign w:val="bottom"/>
          </w:tcPr>
          <w:p>
            <w:pPr>
              <w:jc w:val="center"/>
              <w:ind w:right="83"/>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500" w:type="dxa"/>
            <w:vAlign w:val="bottom"/>
          </w:tcPr>
          <w:p>
            <w:pPr>
              <w:jc w:val="center"/>
              <w:ind w:left="279"/>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557"/>
        </w:trPr>
        <w:tc>
          <w:tcPr>
            <w:tcW w:w="1900" w:type="dxa"/>
            <w:vAlign w:val="bottom"/>
          </w:tcPr>
          <w:p>
            <w:pPr>
              <w:spacing w:after="0"/>
              <w:rPr>
                <w:sz w:val="24"/>
                <w:szCs w:val="24"/>
                <w:color w:val="auto"/>
              </w:rPr>
            </w:pPr>
          </w:p>
        </w:tc>
        <w:tc>
          <w:tcPr>
            <w:tcW w:w="4260" w:type="dxa"/>
            <w:vAlign w:val="bottom"/>
          </w:tcPr>
          <w:p>
            <w:pPr>
              <w:jc w:val="center"/>
              <w:ind w:right="63"/>
              <w:spacing w:after="0"/>
              <w:rPr>
                <w:sz w:val="20"/>
                <w:szCs w:val="20"/>
                <w:color w:val="auto"/>
              </w:rPr>
            </w:pPr>
            <w:r>
              <w:rPr>
                <w:rFonts w:ascii="Times New Roman" w:cs="Times New Roman" w:eastAsia="Times New Roman" w:hAnsi="Times New Roman"/>
                <w:sz w:val="16"/>
                <w:szCs w:val="16"/>
                <w:b w:val="1"/>
                <w:bCs w:val="1"/>
                <w:color w:val="auto"/>
              </w:rPr>
              <w:t>11270 West Park Place, Milwaukee, Wisconsin 53224</w:t>
            </w:r>
          </w:p>
        </w:tc>
        <w:tc>
          <w:tcPr>
            <w:tcW w:w="1500" w:type="dxa"/>
            <w:vAlign w:val="bottom"/>
          </w:tcPr>
          <w:p>
            <w:pPr>
              <w:spacing w:after="0"/>
              <w:rPr>
                <w:sz w:val="24"/>
                <w:szCs w:val="24"/>
                <w:color w:val="auto"/>
              </w:rPr>
            </w:pPr>
          </w:p>
        </w:tc>
      </w:tr>
      <w:tr>
        <w:trPr>
          <w:trHeight w:val="166"/>
        </w:trPr>
        <w:tc>
          <w:tcPr>
            <w:tcW w:w="1900" w:type="dxa"/>
            <w:vAlign w:val="bottom"/>
          </w:tcPr>
          <w:p>
            <w:pPr>
              <w:spacing w:after="0"/>
              <w:rPr>
                <w:sz w:val="14"/>
                <w:szCs w:val="14"/>
                <w:color w:val="auto"/>
              </w:rPr>
            </w:pPr>
          </w:p>
        </w:tc>
        <w:tc>
          <w:tcPr>
            <w:tcW w:w="4260" w:type="dxa"/>
            <w:vAlign w:val="bottom"/>
          </w:tcPr>
          <w:p>
            <w:pPr>
              <w:jc w:val="center"/>
              <w:ind w:right="63"/>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including zip code)</w:t>
            </w:r>
          </w:p>
        </w:tc>
        <w:tc>
          <w:tcPr>
            <w:tcW w:w="1500" w:type="dxa"/>
            <w:vAlign w:val="bottom"/>
          </w:tcPr>
          <w:p>
            <w:pPr>
              <w:spacing w:after="0"/>
              <w:rPr>
                <w:sz w:val="14"/>
                <w:szCs w:val="14"/>
                <w:color w:val="auto"/>
              </w:rPr>
            </w:pPr>
          </w:p>
        </w:tc>
      </w:tr>
      <w:tr>
        <w:trPr>
          <w:trHeight w:val="428"/>
        </w:trPr>
        <w:tc>
          <w:tcPr>
            <w:tcW w:w="1900" w:type="dxa"/>
            <w:vAlign w:val="bottom"/>
          </w:tcPr>
          <w:p>
            <w:pPr>
              <w:spacing w:after="0"/>
              <w:rPr>
                <w:sz w:val="24"/>
                <w:szCs w:val="24"/>
                <w:color w:val="auto"/>
              </w:rPr>
            </w:pPr>
          </w:p>
        </w:tc>
        <w:tc>
          <w:tcPr>
            <w:tcW w:w="4260" w:type="dxa"/>
            <w:vAlign w:val="bottom"/>
          </w:tcPr>
          <w:p>
            <w:pPr>
              <w:jc w:val="center"/>
              <w:ind w:right="43"/>
              <w:spacing w:after="0"/>
              <w:rPr>
                <w:sz w:val="20"/>
                <w:szCs w:val="20"/>
                <w:color w:val="auto"/>
              </w:rPr>
            </w:pPr>
            <w:r>
              <w:rPr>
                <w:rFonts w:ascii="Times New Roman" w:cs="Times New Roman" w:eastAsia="Times New Roman" w:hAnsi="Times New Roman"/>
                <w:sz w:val="16"/>
                <w:szCs w:val="16"/>
                <w:b w:val="1"/>
                <w:bCs w:val="1"/>
                <w:color w:val="auto"/>
              </w:rPr>
              <w:t>(414) 359-4000</w:t>
            </w:r>
          </w:p>
        </w:tc>
        <w:tc>
          <w:tcPr>
            <w:tcW w:w="1500" w:type="dxa"/>
            <w:vAlign w:val="bottom"/>
          </w:tcPr>
          <w:p>
            <w:pPr>
              <w:spacing w:after="0"/>
              <w:rPr>
                <w:sz w:val="24"/>
                <w:szCs w:val="24"/>
                <w:color w:val="auto"/>
              </w:rPr>
            </w:pPr>
          </w:p>
        </w:tc>
      </w:tr>
      <w:tr>
        <w:trPr>
          <w:trHeight w:val="166"/>
        </w:trPr>
        <w:tc>
          <w:tcPr>
            <w:tcW w:w="1900" w:type="dxa"/>
            <w:vAlign w:val="bottom"/>
          </w:tcPr>
          <w:p>
            <w:pPr>
              <w:spacing w:after="0"/>
              <w:rPr>
                <w:sz w:val="14"/>
                <w:szCs w:val="14"/>
                <w:color w:val="auto"/>
              </w:rPr>
            </w:pPr>
          </w:p>
        </w:tc>
        <w:tc>
          <w:tcPr>
            <w:tcW w:w="4260" w:type="dxa"/>
            <w:vAlign w:val="bottom"/>
          </w:tcPr>
          <w:p>
            <w:pPr>
              <w:jc w:val="center"/>
              <w:ind w:right="43"/>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w:t>
            </w:r>
          </w:p>
        </w:tc>
        <w:tc>
          <w:tcPr>
            <w:tcW w:w="1500" w:type="dxa"/>
            <w:vAlign w:val="bottom"/>
          </w:tcPr>
          <w:p>
            <w:pPr>
              <w:spacing w:after="0"/>
              <w:rPr>
                <w:sz w:val="14"/>
                <w:szCs w:val="14"/>
                <w:color w:val="auto"/>
              </w:rPr>
            </w:pPr>
          </w:p>
        </w:tc>
      </w:tr>
      <w:tr>
        <w:trPr>
          <w:trHeight w:val="307"/>
        </w:trPr>
        <w:tc>
          <w:tcPr>
            <w:tcW w:w="1900" w:type="dxa"/>
            <w:vAlign w:val="bottom"/>
          </w:tcPr>
          <w:p>
            <w:pPr>
              <w:spacing w:after="0"/>
              <w:rPr>
                <w:sz w:val="24"/>
                <w:szCs w:val="24"/>
                <w:color w:val="auto"/>
              </w:rPr>
            </w:pPr>
          </w:p>
        </w:tc>
        <w:tc>
          <w:tcPr>
            <w:tcW w:w="4260" w:type="dxa"/>
            <w:vAlign w:val="bottom"/>
          </w:tcPr>
          <w:p>
            <w:pPr>
              <w:jc w:val="center"/>
              <w:ind w:right="43"/>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Pr>
          <w:p>
            <w:pPr>
              <w:spacing w:after="0"/>
              <w:rPr>
                <w:sz w:val="24"/>
                <w:szCs w:val="24"/>
                <w:color w:val="auto"/>
              </w:rPr>
            </w:pPr>
          </w:p>
        </w:tc>
      </w:tr>
    </w:tbl>
    <w:p>
      <w:pPr>
        <w:spacing w:after="0" w:line="100" w:lineRule="exact"/>
        <w:rPr>
          <w:sz w:val="24"/>
          <w:szCs w:val="24"/>
          <w:color w:val="auto"/>
        </w:rPr>
      </w:pPr>
    </w:p>
    <w:p>
      <w:pPr>
        <w:ind w:left="120" w:right="240"/>
        <w:spacing w:after="0" w:line="280"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11" w:lineRule="exact"/>
        <w:rPr>
          <w:sz w:val="24"/>
          <w:szCs w:val="24"/>
          <w:color w:val="auto"/>
        </w:rPr>
      </w:pPr>
    </w:p>
    <w:p>
      <w:pPr>
        <w:ind w:left="760" w:hanging="653"/>
        <w:spacing w:after="0"/>
        <w:tabs>
          <w:tab w:leader="none" w:pos="7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760" w:hanging="653"/>
        <w:spacing w:after="0"/>
        <w:tabs>
          <w:tab w:leader="none" w:pos="7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760" w:hanging="653"/>
        <w:spacing w:after="0"/>
        <w:tabs>
          <w:tab w:leader="none" w:pos="7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760" w:hanging="653"/>
        <w:spacing w:after="0"/>
        <w:tabs>
          <w:tab w:leader="none" w:pos="7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94"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341"/>
        </w:trPr>
        <w:tc>
          <w:tcPr>
            <w:tcW w:w="3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w:t>
            </w:r>
          </w:p>
        </w:tc>
      </w:tr>
      <w:tr>
        <w:trPr>
          <w:trHeight w:val="239"/>
        </w:trPr>
        <w:tc>
          <w:tcPr>
            <w:tcW w:w="3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00" w:type="dxa"/>
            <w:vAlign w:val="bottom"/>
          </w:tcPr>
          <w:p>
            <w:pPr>
              <w:spacing w:after="0"/>
              <w:rPr>
                <w:sz w:val="20"/>
                <w:szCs w:val="20"/>
                <w:color w:val="auto"/>
              </w:rPr>
            </w:pPr>
          </w:p>
        </w:tc>
        <w:tc>
          <w:tcPr>
            <w:tcW w:w="3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00" w:type="dxa"/>
            <w:vAlign w:val="bottom"/>
          </w:tcPr>
          <w:p>
            <w:pPr>
              <w:spacing w:after="0"/>
              <w:rPr>
                <w:sz w:val="20"/>
                <w:szCs w:val="20"/>
                <w:color w:val="auto"/>
              </w:rPr>
            </w:pP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on which registered</w:t>
            </w:r>
          </w:p>
        </w:tc>
      </w:tr>
      <w:tr>
        <w:trPr>
          <w:trHeight w:val="224"/>
        </w:trPr>
        <w:tc>
          <w:tcPr>
            <w:tcW w:w="40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Common Stock (par value $1.00 per share)</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AOS</w:t>
            </w:r>
          </w:p>
        </w:tc>
        <w:tc>
          <w:tcPr>
            <w:tcW w:w="35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114" w:lineRule="exact"/>
        <w:rPr>
          <w:sz w:val="24"/>
          <w:szCs w:val="24"/>
          <w:color w:val="auto"/>
        </w:rPr>
      </w:pPr>
    </w:p>
    <w:p>
      <w:pPr>
        <w:ind w:left="120" w:right="380"/>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9" w:lineRule="exact"/>
        <w:rPr>
          <w:sz w:val="24"/>
          <w:szCs w:val="24"/>
          <w:color w:val="auto"/>
        </w:rPr>
      </w:pPr>
    </w:p>
    <w:p>
      <w:pPr>
        <w:ind w:left="120"/>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284" w:lineRule="exact"/>
        <w:rPr>
          <w:sz w:val="24"/>
          <w:szCs w:val="24"/>
          <w:color w:val="auto"/>
        </w:rPr>
      </w:pPr>
    </w:p>
    <w:p>
      <w:pPr>
        <w:ind w:left="120" w:right="48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150495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116205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20" w:right="339" w:bottom="1440" w:gutter="0" w:footer="0" w:header="0"/>
        </w:sectPr>
      </w:pPr>
    </w:p>
    <w:bookmarkStart w:id="1" w:name="page2"/>
    <w:bookmarkEnd w:id="1"/>
    <w:p>
      <w:pPr>
        <w:spacing w:after="0"/>
        <w:tabs>
          <w:tab w:leader="none" w:pos="820" w:val="left"/>
        </w:tabs>
        <w:rPr>
          <w:sz w:val="20"/>
          <w:szCs w:val="20"/>
          <w:color w:val="auto"/>
        </w:rPr>
      </w:pPr>
      <w:r>
        <w:rPr>
          <w:rFonts w:ascii="Times New Roman" w:cs="Times New Roman" w:eastAsia="Times New Roman" w:hAnsi="Times New Roman"/>
          <w:sz w:val="16"/>
          <w:szCs w:val="16"/>
          <w:b w:val="1"/>
          <w:bCs w:val="1"/>
          <w:color w:val="auto"/>
        </w:rPr>
        <w:t>Item 2.02.</w:t>
        <w:tab/>
        <w:t>Results of Operations and Financial Condition</w:t>
      </w:r>
    </w:p>
    <w:p>
      <w:pPr>
        <w:spacing w:after="0" w:line="129" w:lineRule="exact"/>
        <w:rPr>
          <w:sz w:val="20"/>
          <w:szCs w:val="20"/>
          <w:color w:val="auto"/>
        </w:rPr>
      </w:pPr>
    </w:p>
    <w:p>
      <w:pPr>
        <w:ind w:firstLine="413"/>
        <w:spacing w:after="0" w:line="316" w:lineRule="auto"/>
        <w:rPr>
          <w:sz w:val="20"/>
          <w:szCs w:val="20"/>
          <w:color w:val="auto"/>
        </w:rPr>
      </w:pPr>
      <w:r>
        <w:rPr>
          <w:rFonts w:ascii="Times New Roman" w:cs="Times New Roman" w:eastAsia="Times New Roman" w:hAnsi="Times New Roman"/>
          <w:sz w:val="16"/>
          <w:szCs w:val="16"/>
          <w:color w:val="auto"/>
        </w:rPr>
        <w:t>On April 30, 2026, A. O. Smith Corporation (“the Company”) issued a news release announcing the Company’s results for the quarter ended March 31, 2026. A copy of the Company’s news release is attached as Exhibit 99.1 to this Current Report on Form 8-K (this “Current Report”) and is incorporated by reference herein.</w:t>
      </w:r>
    </w:p>
    <w:p>
      <w:pPr>
        <w:spacing w:after="0" w:line="200" w:lineRule="exact"/>
        <w:rPr>
          <w:sz w:val="20"/>
          <w:szCs w:val="20"/>
          <w:color w:val="auto"/>
        </w:rPr>
      </w:pPr>
    </w:p>
    <w:p>
      <w:pPr>
        <w:spacing w:after="0" w:line="21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b w:val="1"/>
          <w:bCs w:val="1"/>
          <w:color w:val="auto"/>
        </w:rPr>
        <w:t>Item 9.01</w:t>
        <w:tab/>
        <w:t>Financial Statements and Exhibits</w:t>
      </w:r>
    </w:p>
    <w:p>
      <w:pPr>
        <w:spacing w:after="0" w:line="14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6"/>
          <w:szCs w:val="16"/>
          <w:color w:val="auto"/>
        </w:rPr>
        <w:t>The following exhibit is being filed herewith:</w:t>
      </w:r>
    </w:p>
    <w:p>
      <w:pPr>
        <w:spacing w:after="0" w:line="262" w:lineRule="exact"/>
        <w:rPr>
          <w:sz w:val="20"/>
          <w:szCs w:val="20"/>
          <w:color w:val="auto"/>
        </w:rPr>
      </w:pPr>
    </w:p>
    <w:p>
      <w:pPr>
        <w:ind w:left="420"/>
        <w:spacing w:after="0"/>
        <w:tabs>
          <w:tab w:leader="none" w:pos="960"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6"/>
          <w:szCs w:val="16"/>
          <w:u w:val="single" w:color="auto"/>
          <w:color w:val="0000ED"/>
        </w:rPr>
        <w:t>News Release of A. O. Smith Corporation, dated April 30, 2026</w:t>
      </w:r>
    </w:p>
    <w:p>
      <w:pPr>
        <w:spacing w:after="0" w:line="127" w:lineRule="exact"/>
        <w:rPr>
          <w:sz w:val="20"/>
          <w:szCs w:val="20"/>
          <w:color w:val="auto"/>
        </w:rPr>
      </w:pPr>
    </w:p>
    <w:p>
      <w:pPr>
        <w:ind w:left="420"/>
        <w:spacing w:after="0"/>
        <w:tabs>
          <w:tab w:leader="none" w:pos="800" w:val="left"/>
        </w:tabs>
        <w:rPr>
          <w:sz w:val="20"/>
          <w:szCs w:val="20"/>
          <w:color w:val="auto"/>
        </w:rPr>
      </w:pPr>
      <w:r>
        <w:rPr>
          <w:rFonts w:ascii="Times New Roman" w:cs="Times New Roman" w:eastAsia="Times New Roman" w:hAnsi="Times New Roman"/>
          <w:sz w:val="16"/>
          <w:szCs w:val="16"/>
          <w:color w:val="auto"/>
        </w:rPr>
        <w:t>104</w:t>
        <w:tab/>
        <w:t>Cover Page Interactive Data File (embedded with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565150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440" w:top="1258" w:right="559" w:bottom="1440" w:gutter="0" w:footer="0" w:header="0"/>
        </w:sectPr>
      </w:pPr>
    </w:p>
    <w:bookmarkStart w:id="2" w:name="page3"/>
    <w:bookmarkEnd w:id="2"/>
    <w:p>
      <w:pPr>
        <w:spacing w:after="0" w:line="10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64"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6"/>
          <w:szCs w:val="16"/>
          <w:b w:val="1"/>
          <w:bCs w:val="1"/>
          <w:color w:val="auto"/>
        </w:rPr>
        <w:t>A. O. SMITH CORPORATION</w:t>
      </w:r>
    </w:p>
    <w:p>
      <w:pPr>
        <w:spacing w:after="0" w:line="331" w:lineRule="exact"/>
        <w:rPr>
          <w:sz w:val="20"/>
          <w:szCs w:val="20"/>
          <w:color w:val="auto"/>
        </w:rPr>
      </w:pPr>
    </w:p>
    <w:p>
      <w:pPr>
        <w:ind w:left="20"/>
        <w:spacing w:after="0"/>
        <w:tabs>
          <w:tab w:leader="none" w:pos="6040" w:val="left"/>
          <w:tab w:leader="none" w:pos="6840" w:val="left"/>
        </w:tabs>
        <w:rPr>
          <w:sz w:val="20"/>
          <w:szCs w:val="20"/>
          <w:color w:val="auto"/>
        </w:rPr>
      </w:pPr>
      <w:r>
        <w:rPr>
          <w:rFonts w:ascii="Times New Roman" w:cs="Times New Roman" w:eastAsia="Times New Roman" w:hAnsi="Times New Roman"/>
          <w:sz w:val="16"/>
          <w:szCs w:val="16"/>
          <w:color w:val="auto"/>
        </w:rPr>
        <w:t>Date: April 30,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/s/James F. Stern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29210</wp:posOffset>
            </wp:positionV>
            <wp:extent cx="27946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5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James F. Stern</w:t>
      </w:r>
    </w:p>
    <w:p>
      <w:pPr>
        <w:spacing w:after="0" w:line="5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Executive Vice President, Corporate Development, Strategy and</w:t>
      </w:r>
    </w:p>
    <w:p>
      <w:pPr>
        <w:spacing w:after="0" w:line="23"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6"/>
          <w:szCs w:val="16"/>
          <w:color w:val="auto"/>
        </w:rPr>
        <w:t>Secretary</w:t>
      </w:r>
    </w:p>
    <w:p>
      <w:pPr>
        <w:sectPr>
          <w:pgSz w:w="11900" w:h="16838" w:orient="portrait"/>
          <w:cols w:equalWidth="0" w:num="1">
            <w:col w:w="11080"/>
          </w:cols>
          <w:pgMar w:left="320" w:top="1440" w:right="499" w:bottom="1440" w:gutter="0" w:footer="0" w:header="0"/>
        </w:sectPr>
      </w:pPr>
    </w:p>
    <w:bookmarkStart w:id="3" w:name="page4"/>
    <w:bookmarkEnd w:id="3"/>
    <w:p>
      <w:pPr>
        <w:ind w:left="103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5846445" cy="9601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46445" cy="96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4240" w:type="dxa"/>
        <w:tblCellMar>
          <w:top w:w="0" w:type="dxa"/>
          <w:left w:w="0" w:type="dxa"/>
          <w:bottom w:w="0" w:type="dxa"/>
          <w:right w:w="0" w:type="dxa"/>
        </w:tblCellMar>
      </w:tblPr>
      <w:tr>
        <w:trPr>
          <w:trHeight w:val="238"/>
        </w:trPr>
        <w:tc>
          <w:tcPr>
            <w:tcW w:w="2520" w:type="dxa"/>
            <w:vAlign w:val="bottom"/>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Media Relations:</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Investor Relations:</w:t>
            </w:r>
          </w:p>
        </w:tc>
      </w:tr>
      <w:tr>
        <w:trPr>
          <w:trHeight w:val="243"/>
        </w:trPr>
        <w:tc>
          <w:tcPr>
            <w:tcW w:w="25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rPr>
              <w:t>Curt Selby</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Helen Gurholt</w:t>
            </w:r>
          </w:p>
        </w:tc>
      </w:tr>
      <w:tr>
        <w:trPr>
          <w:trHeight w:val="176"/>
        </w:trPr>
        <w:tc>
          <w:tcPr>
            <w:tcW w:w="2520" w:type="dxa"/>
            <w:vAlign w:val="bottom"/>
          </w:tcPr>
          <w:p>
            <w:pPr>
              <w:jc w:val="right"/>
              <w:ind w:right="650"/>
              <w:spacing w:after="0" w:line="176" w:lineRule="exact"/>
              <w:rPr>
                <w:sz w:val="20"/>
                <w:szCs w:val="20"/>
                <w:color w:val="auto"/>
              </w:rPr>
            </w:pPr>
            <w:r>
              <w:rPr>
                <w:rFonts w:ascii="Times New Roman" w:cs="Times New Roman" w:eastAsia="Times New Roman" w:hAnsi="Times New Roman"/>
                <w:sz w:val="18"/>
                <w:szCs w:val="18"/>
                <w:color w:val="auto"/>
              </w:rPr>
              <w:t>414-359-4191</w:t>
            </w:r>
          </w:p>
        </w:tc>
        <w:tc>
          <w:tcPr>
            <w:tcW w:w="2460" w:type="dxa"/>
            <w:vAlign w:val="bottom"/>
          </w:tcPr>
          <w:p>
            <w:pPr>
              <w:jc w:val="right"/>
              <w:spacing w:after="0" w:line="176" w:lineRule="exact"/>
              <w:rPr>
                <w:sz w:val="20"/>
                <w:szCs w:val="20"/>
                <w:color w:val="auto"/>
              </w:rPr>
            </w:pPr>
            <w:r>
              <w:rPr>
                <w:rFonts w:ascii="Times New Roman" w:cs="Times New Roman" w:eastAsia="Times New Roman" w:hAnsi="Times New Roman"/>
                <w:sz w:val="18"/>
                <w:szCs w:val="18"/>
                <w:color w:val="auto"/>
              </w:rPr>
              <w:t>414-359-4157</w:t>
            </w:r>
          </w:p>
        </w:tc>
      </w:tr>
      <w:tr>
        <w:trPr>
          <w:trHeight w:val="234"/>
        </w:trPr>
        <w:tc>
          <w:tcPr>
            <w:tcW w:w="252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7"/>
              </w:rPr>
              <w:t>curt.selby@aosmith.com</w:t>
            </w:r>
          </w:p>
        </w:tc>
        <w:tc>
          <w:tcPr>
            <w:tcW w:w="2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hgurholt@aosmith.com</w:t>
            </w: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IMMEDIATE RELEASE</w:t>
      </w:r>
    </w:p>
    <w:p>
      <w:pPr>
        <w:spacing w:after="0" w:line="225" w:lineRule="exact"/>
        <w:rPr>
          <w:sz w:val="20"/>
          <w:szCs w:val="20"/>
          <w:color w:val="auto"/>
        </w:rPr>
      </w:pPr>
    </w:p>
    <w:p>
      <w:pPr>
        <w:ind w:left="10180"/>
        <w:spacing w:after="0"/>
        <w:rPr>
          <w:sz w:val="20"/>
          <w:szCs w:val="20"/>
          <w:color w:val="auto"/>
        </w:rPr>
      </w:pPr>
      <w:r>
        <w:rPr>
          <w:rFonts w:ascii="Times New Roman" w:cs="Times New Roman" w:eastAsia="Times New Roman" w:hAnsi="Times New Roman"/>
          <w:sz w:val="18"/>
          <w:szCs w:val="18"/>
          <w:color w:val="auto"/>
        </w:rPr>
        <w:t>April 30, 2026</w:t>
      </w:r>
    </w:p>
    <w:p>
      <w:pPr>
        <w:spacing w:after="0" w:line="30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25"/>
          <w:szCs w:val="25"/>
          <w:b w:val="1"/>
          <w:bCs w:val="1"/>
          <w:color w:val="auto"/>
        </w:rPr>
        <w:t>A. O. Smith Reports First Quarter 2026 Results and Lowers Full Year 2026 Outlook</w:t>
      </w: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First Quarter 2026 Highlights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(Comparisons are year-over-year (“YoY”), unless otherwise noted)</w:t>
      </w:r>
    </w:p>
    <w:p>
      <w:pPr>
        <w:spacing w:after="0" w:line="104"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$946 million; net earnings of $118 million and diluted earnings per share (EPS) of $0.85</w:t>
      </w:r>
    </w:p>
    <w:p>
      <w:pPr>
        <w:spacing w:after="0" w:line="103" w:lineRule="exact"/>
        <w:rPr>
          <w:rFonts w:ascii="Times New Roman" w:cs="Times New Roman" w:eastAsia="Times New Roman" w:hAnsi="Times New Roman"/>
          <w:sz w:val="18"/>
          <w:szCs w:val="18"/>
          <w:color w:val="auto"/>
        </w:rPr>
      </w:pPr>
    </w:p>
    <w:p>
      <w:pPr>
        <w:ind w:left="660" w:hanging="328"/>
        <w:spacing w:after="0" w:line="367"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segment sales of $753.4 million increased 1% with the addition of Leonard Valve and pricing benefits offsetting softer water heater industry volumes and weather-related production and shipping constraints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 of World segment sales of $200.7 million decreased 11% due to continued challenges in the consumer appliance market in China</w:t>
      </w:r>
    </w:p>
    <w:p>
      <w:pPr>
        <w:spacing w:after="0" w:line="103" w:lineRule="exact"/>
        <w:rPr>
          <w:rFonts w:ascii="Times New Roman" w:cs="Times New Roman" w:eastAsia="Times New Roman" w:hAnsi="Times New Roman"/>
          <w:sz w:val="18"/>
          <w:szCs w:val="18"/>
          <w:color w:val="auto"/>
        </w:rPr>
      </w:pPr>
    </w:p>
    <w:p>
      <w:pPr>
        <w:ind w:left="660" w:hanging="328"/>
        <w:spacing w:after="0" w:line="360"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earnings decreased primarily as a result of lower volumes and transaction-related expenses recognized in the quarter for the Leonard Valve acquisition</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Strong growth in operating cash flow and free cash flow to $129 million and $119 million, respectively</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due to continued challenging conditions in China, 2026 full year EPS guidance lowered to:</w:t>
      </w:r>
    </w:p>
    <w:p>
      <w:pPr>
        <w:spacing w:after="0" w:line="11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EPS of between $3.60 and $3.90</w:t>
      </w:r>
    </w:p>
    <w:p>
      <w:pPr>
        <w:spacing w:after="0" w:line="103"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EPS of between $3.70 and $4.00</w:t>
      </w:r>
    </w:p>
    <w:p>
      <w:pPr>
        <w:spacing w:after="0" w:line="208" w:lineRule="exact"/>
        <w:rPr>
          <w:sz w:val="20"/>
          <w:szCs w:val="20"/>
          <w:color w:val="auto"/>
        </w:rPr>
      </w:pPr>
    </w:p>
    <w:p>
      <w:pPr>
        <w:ind w:right="260"/>
        <w:spacing w:after="0" w:line="396" w:lineRule="auto"/>
        <w:rPr>
          <w:sz w:val="20"/>
          <w:szCs w:val="20"/>
          <w:color w:val="auto"/>
        </w:rPr>
      </w:pPr>
      <w:r>
        <w:rPr>
          <w:rFonts w:ascii="Times New Roman" w:cs="Times New Roman" w:eastAsia="Times New Roman" w:hAnsi="Times New Roman"/>
          <w:sz w:val="18"/>
          <w:szCs w:val="18"/>
          <w:b w:val="1"/>
          <w:bCs w:val="1"/>
          <w:color w:val="auto"/>
        </w:rPr>
        <w:t xml:space="preserve">Milwaukee, Wis.— </w:t>
      </w:r>
      <w:r>
        <w:rPr>
          <w:rFonts w:ascii="Times New Roman" w:cs="Times New Roman" w:eastAsia="Times New Roman" w:hAnsi="Times New Roman"/>
          <w:sz w:val="18"/>
          <w:szCs w:val="18"/>
          <w:color w:val="auto"/>
        </w:rPr>
        <w:t>Global water technology company A. O. Smith Corporation (“the Company”) (NYSE: AOS) today announced its first quarter 2026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Key Financial Metrics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First Quarter</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 except per share amounts)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336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w w:val="99"/>
              </w:rPr>
              <w:t>Q1 2026</w:t>
            </w:r>
          </w:p>
        </w:tc>
        <w:tc>
          <w:tcPr>
            <w:tcW w:w="1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Q1 2025</w:t>
            </w:r>
          </w:p>
        </w:tc>
        <w:tc>
          <w:tcPr>
            <w:tcW w:w="20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 Change YoY</w:t>
            </w:r>
          </w:p>
        </w:tc>
      </w:tr>
      <w:tr>
        <w:trPr>
          <w:trHeight w:val="27"/>
        </w:trPr>
        <w:tc>
          <w:tcPr>
            <w:tcW w:w="402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28"/>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36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$945.6</w:t>
            </w:r>
          </w:p>
        </w:tc>
        <w:tc>
          <w:tcPr>
            <w:tcW w:w="1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$963.9</w:t>
            </w:r>
          </w:p>
        </w:tc>
        <w:tc>
          <w:tcPr>
            <w:tcW w:w="2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9"/>
              </w:rPr>
              <w:t>-2%</w:t>
            </w:r>
          </w:p>
        </w:tc>
      </w:tr>
      <w:tr>
        <w:trPr>
          <w:trHeight w:val="252"/>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360" w:type="dxa"/>
            <w:vAlign w:val="bottom"/>
          </w:tcPr>
          <w:p>
            <w:pPr>
              <w:jc w:val="center"/>
              <w:ind w:left="1330"/>
              <w:spacing w:after="0"/>
              <w:rPr>
                <w:sz w:val="20"/>
                <w:szCs w:val="20"/>
                <w:color w:val="auto"/>
              </w:rPr>
            </w:pPr>
            <w:r>
              <w:rPr>
                <w:rFonts w:ascii="Times New Roman" w:cs="Times New Roman" w:eastAsia="Times New Roman" w:hAnsi="Times New Roman"/>
                <w:sz w:val="18"/>
                <w:szCs w:val="18"/>
                <w:color w:val="auto"/>
              </w:rPr>
              <w:t>$118.0</w:t>
            </w:r>
          </w:p>
        </w:tc>
        <w:tc>
          <w:tcPr>
            <w:tcW w:w="180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rPr>
              <w:t>$136.6</w:t>
            </w:r>
          </w:p>
        </w:tc>
        <w:tc>
          <w:tcPr>
            <w:tcW w:w="2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-14%</w:t>
            </w:r>
          </w:p>
        </w:tc>
      </w:tr>
      <w:tr>
        <w:trPr>
          <w:trHeight w:val="256"/>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360" w:type="dxa"/>
            <w:vAlign w:val="bottom"/>
          </w:tcPr>
          <w:p>
            <w:pPr>
              <w:jc w:val="center"/>
              <w:ind w:left="1350"/>
              <w:spacing w:after="0"/>
              <w:rPr>
                <w:sz w:val="20"/>
                <w:szCs w:val="20"/>
                <w:color w:val="auto"/>
              </w:rPr>
            </w:pPr>
            <w:r>
              <w:rPr>
                <w:rFonts w:ascii="Times New Roman" w:cs="Times New Roman" w:eastAsia="Times New Roman" w:hAnsi="Times New Roman"/>
                <w:sz w:val="18"/>
                <w:szCs w:val="18"/>
                <w:color w:val="auto"/>
                <w:w w:val="98"/>
              </w:rPr>
              <w:t>$0.85</w:t>
            </w:r>
          </w:p>
        </w:tc>
        <w:tc>
          <w:tcPr>
            <w:tcW w:w="180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$0.95</w:t>
            </w:r>
          </w:p>
        </w:tc>
        <w:tc>
          <w:tcPr>
            <w:tcW w:w="206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7"/>
              </w:rPr>
              <w:t>-11%</w:t>
            </w:r>
          </w:p>
        </w:tc>
      </w:tr>
    </w:tbl>
    <w:p>
      <w:pPr>
        <w:sectPr>
          <w:pgSz w:w="11900" w:h="16838" w:orient="portrait"/>
          <w:cols w:equalWidth="0" w:num="1">
            <w:col w:w="11240"/>
          </w:cols>
          <w:pgMar w:left="320" w:top="887" w:right="339" w:bottom="1440" w:gutter="0" w:footer="0" w:header="0"/>
        </w:sectPr>
      </w:pPr>
    </w:p>
    <w:bookmarkStart w:id="4" w:name="page5"/>
    <w:bookmarkEnd w:id="4"/>
    <w:p>
      <w:pPr>
        <w:jc w:val="both"/>
        <w:spacing w:after="0" w:line="369" w:lineRule="auto"/>
        <w:rPr>
          <w:sz w:val="20"/>
          <w:szCs w:val="20"/>
          <w:color w:val="auto"/>
        </w:rPr>
      </w:pPr>
      <w:r>
        <w:rPr>
          <w:rFonts w:ascii="Times New Roman" w:cs="Times New Roman" w:eastAsia="Times New Roman" w:hAnsi="Times New Roman"/>
          <w:sz w:val="18"/>
          <w:szCs w:val="18"/>
          <w:color w:val="auto"/>
        </w:rPr>
        <w:t>Chief Executive Officer Steve Shafer commented, “Our team executed with focus and agility in the first quarter, continuing to support our customers well in the face of a continued soft macro environment. As we anticipated, softer demand in China impacted results. In North America, results were impacted by residential water heater industry demand that was modestly below our expectations, compounded by temporary weather-related disruptions at our Ashland City, Tennessee facility. Separately, in April, we took another step in our business simplification and margin enhancement efforts within our North America water treatment business by announcing a targeted restructuring plan that will be recognized in the second quarter. We believe these actions are an important step in advancing a stronger business model to achieve a higher level of profitable growth.”</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Segment-level Performance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North America</w:t>
      </w:r>
    </w:p>
    <w:p>
      <w:pPr>
        <w:spacing w:after="0" w:line="229" w:lineRule="exact"/>
        <w:rPr>
          <w:sz w:val="20"/>
          <w:szCs w:val="20"/>
          <w:color w:val="auto"/>
        </w:rPr>
      </w:pPr>
    </w:p>
    <w:p>
      <w:pPr>
        <w:jc w:val="both"/>
        <w:spacing w:after="0" w:line="367" w:lineRule="auto"/>
        <w:rPr>
          <w:sz w:val="20"/>
          <w:szCs w:val="20"/>
          <w:color w:val="auto"/>
        </w:rPr>
      </w:pPr>
      <w:r>
        <w:rPr>
          <w:rFonts w:ascii="Times New Roman" w:cs="Times New Roman" w:eastAsia="Times New Roman" w:hAnsi="Times New Roman"/>
          <w:sz w:val="18"/>
          <w:szCs w:val="18"/>
          <w:color w:val="auto"/>
        </w:rPr>
        <w:t>First quarter sales of $753.4 million increased 1% relative to a difficult 2025 comparison as the benefits of carryover pricing actions and the $16 million sales contribution from the newly acquired Leonard Valve business were largely offset by lower residential water heater volumes. The first quarter of 2026 was negatively impacted by weather-related production and shipping constraints, particularly as a direct result of storm damage at the Company’s Ashland City, Tennessee plant. The first quarter of 2025 benefited from incremental volume from the pull forward of water heater and boiler sales ahead of tariff and other cost-related price increases.</w:t>
      </w:r>
    </w:p>
    <w:p>
      <w:pPr>
        <w:spacing w:after="0" w:line="78"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Segment earnings were $175.4 million and segment margin was 23.3% in first quarter of 2026 compared to first quarter of 2025 segment earnings of $185.2 million and segment margin of 24.7%. The year-over-year decrease in segment earnings and segment margin was primarily due to lower residential water heater volumes which more than offset the earnings contribution from Leonard Valve. The first quarter of 2025 benefited from a stronger mix toward higher efficiency products as certain customers bought ahead of an announced price increase.</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 of World</w:t>
      </w:r>
    </w:p>
    <w:p>
      <w:pPr>
        <w:spacing w:after="0" w:line="216" w:lineRule="exact"/>
        <w:rPr>
          <w:sz w:val="20"/>
          <w:szCs w:val="20"/>
          <w:color w:val="auto"/>
        </w:rPr>
      </w:pPr>
    </w:p>
    <w:p>
      <w:pPr>
        <w:jc w:val="both"/>
        <w:spacing w:after="0" w:line="407" w:lineRule="auto"/>
        <w:rPr>
          <w:sz w:val="20"/>
          <w:szCs w:val="20"/>
          <w:color w:val="auto"/>
        </w:rPr>
      </w:pPr>
      <w:r>
        <w:rPr>
          <w:rFonts w:ascii="Times New Roman" w:cs="Times New Roman" w:eastAsia="Times New Roman" w:hAnsi="Times New Roman"/>
          <w:sz w:val="18"/>
          <w:szCs w:val="18"/>
          <w:color w:val="auto"/>
        </w:rPr>
        <w:t>Rest of World sales of $200.7 million decreased 11% compared to the prior year period and included a favorable currency translation impact of $8 million primarily related to sales in China. China sales decreased 17% in local currency due to continued weak consumer demand.</w:t>
      </w:r>
    </w:p>
    <w:p>
      <w:pPr>
        <w:spacing w:after="0" w:line="40"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Segment earnings were $12.4 million and segment margin was 6.2% in the first quarter of 2026, compared to segment earnings of $19.7 million and segment margin of 8.7% in the same period of 2025. The lower segment earnings and segment margin compared to the prior year were primarily due to lower sales volumes that were partially offset by continued cost management in China.</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Liquidity and Capital Allocation</w:t>
      </w:r>
    </w:p>
    <w:p>
      <w:pPr>
        <w:spacing w:after="0" w:line="229"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As of March 31, 2026, cash and marketable securities balances totaled $203.9 million and debt totaled $615.8 million, resulting in a leverage ratio of 24.7% as measured by total debt-to-total capitalization. The increased leverage ratio compared to 2025 was due to cash borrowed under a new term loan used to acquire Leonard Valve in January 2026.</w:t>
      </w:r>
    </w:p>
    <w:p>
      <w:pPr>
        <w:spacing w:after="0" w:line="69"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Cash provided by operations was $129.4 million and free cash flow was $118.9 million in the first three months of 2026, both higher than the same period in 2025, primarily driven by diligent working capital management and the timing of customer payments that more than offset lower earnings.</w:t>
      </w:r>
    </w:p>
    <w:p>
      <w:pPr>
        <w:sectPr>
          <w:pgSz w:w="11900" w:h="16838" w:orient="portrait"/>
          <w:cols w:equalWidth="0" w:num="1">
            <w:col w:w="11240"/>
          </w:cols>
          <w:pgMar w:left="320" w:top="1053" w:right="339" w:bottom="1440" w:gutter="0" w:footer="0" w:header="0"/>
        </w:sectPr>
      </w:pPr>
    </w:p>
    <w:bookmarkStart w:id="5" w:name="page6"/>
    <w:bookmarkEnd w:id="5"/>
    <w:p>
      <w:pPr>
        <w:jc w:val="both"/>
        <w:spacing w:after="0" w:line="375" w:lineRule="auto"/>
        <w:rPr>
          <w:sz w:val="20"/>
          <w:szCs w:val="20"/>
          <w:color w:val="auto"/>
        </w:rPr>
      </w:pPr>
      <w:r>
        <w:rPr>
          <w:rFonts w:ascii="Times New Roman" w:cs="Times New Roman" w:eastAsia="Times New Roman" w:hAnsi="Times New Roman"/>
          <w:sz w:val="18"/>
          <w:szCs w:val="18"/>
          <w:color w:val="auto"/>
        </w:rPr>
        <w:t>As part of its commitment to return capital to shareholders, the Company repurchased 0.7 million shares at a cost of $51.3 million in the first three months of 2026. As of March 31, 2026, authority remained to repurchase approximately 5.1 million additional shares. The Company projects that it will spend $200 million to repurchase shares in 2026.</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April 13, 2026, the Company’s board of directors approved a $0.36 per share dividend for shareholders of record on April 30, payable on May 15.</w:t>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2026 Outlook</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millions, except per share amounts)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2026 Outlook</w:t>
            </w:r>
          </w:p>
        </w:tc>
      </w:tr>
      <w:tr>
        <w:trPr>
          <w:trHeight w:val="27"/>
        </w:trPr>
        <w:tc>
          <w:tcPr>
            <w:tcW w:w="6000" w:type="dxa"/>
            <w:vAlign w:val="bottom"/>
          </w:tcPr>
          <w:p>
            <w:pPr>
              <w:spacing w:after="0"/>
              <w:rPr>
                <w:sz w:val="2"/>
                <w:szCs w:val="2"/>
                <w:color w:val="auto"/>
              </w:rPr>
            </w:pPr>
          </w:p>
        </w:tc>
        <w:tc>
          <w:tcPr>
            <w:tcW w:w="18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28"/>
        </w:trPr>
        <w:tc>
          <w:tcPr>
            <w:tcW w:w="6000" w:type="dxa"/>
            <w:vAlign w:val="bottom"/>
          </w:tcPr>
          <w:p>
            <w:pPr>
              <w:spacing w:after="0"/>
              <w:rPr>
                <w:sz w:val="19"/>
                <w:szCs w:val="19"/>
                <w:color w:val="auto"/>
              </w:rPr>
            </w:pPr>
          </w:p>
        </w:tc>
        <w:tc>
          <w:tcPr>
            <w:tcW w:w="172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color w:val="auto"/>
              </w:rPr>
              <w:t>Actual</w:t>
            </w:r>
          </w:p>
        </w:tc>
        <w:tc>
          <w:tcPr>
            <w:tcW w:w="100" w:type="dxa"/>
            <w:vAlign w:val="bottom"/>
          </w:tcPr>
          <w:p>
            <w:pPr>
              <w:spacing w:after="0"/>
              <w:rPr>
                <w:sz w:val="19"/>
                <w:szCs w:val="19"/>
                <w:color w:val="auto"/>
              </w:rPr>
            </w:pPr>
          </w:p>
        </w:tc>
        <w:tc>
          <w:tcPr>
            <w:tcW w:w="1200" w:type="dxa"/>
            <w:vAlign w:val="bottom"/>
            <w:tcBorders>
              <w:top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w w:val="99"/>
              </w:rPr>
              <w:t>Low End</w:t>
            </w:r>
          </w:p>
        </w:tc>
        <w:tc>
          <w:tcPr>
            <w:tcW w:w="222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High End</w:t>
            </w:r>
          </w:p>
        </w:tc>
      </w:tr>
      <w:tr>
        <w:trPr>
          <w:trHeight w:val="22"/>
        </w:trPr>
        <w:tc>
          <w:tcPr>
            <w:tcW w:w="60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r>
      <w:tr>
        <w:trPr>
          <w:trHeight w:val="228"/>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$3,830</w:t>
            </w:r>
          </w:p>
        </w:tc>
        <w:tc>
          <w:tcPr>
            <w:tcW w:w="100" w:type="dxa"/>
            <w:vAlign w:val="bottom"/>
          </w:tcPr>
          <w:p>
            <w:pPr>
              <w:spacing w:after="0"/>
              <w:rPr>
                <w:sz w:val="19"/>
                <w:szCs w:val="19"/>
                <w:color w:val="auto"/>
              </w:rPr>
            </w:pPr>
          </w:p>
        </w:tc>
        <w:tc>
          <w:tcPr>
            <w:tcW w:w="12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$3,900</w:t>
            </w:r>
          </w:p>
        </w:tc>
        <w:tc>
          <w:tcPr>
            <w:tcW w:w="22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rPr>
              <w:t>$4,000</w:t>
            </w:r>
          </w:p>
        </w:tc>
      </w:tr>
      <w:tr>
        <w:trPr>
          <w:trHeight w:val="252"/>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$3.85</w:t>
            </w:r>
          </w:p>
        </w:tc>
        <w:tc>
          <w:tcPr>
            <w:tcW w:w="100" w:type="dxa"/>
            <w:vAlign w:val="bottom"/>
          </w:tcPr>
          <w:p>
            <w:pPr>
              <w:spacing w:after="0"/>
              <w:rPr>
                <w:sz w:val="21"/>
                <w:szCs w:val="21"/>
                <w:color w:val="auto"/>
              </w:rPr>
            </w:pPr>
          </w:p>
        </w:tc>
        <w:tc>
          <w:tcPr>
            <w:tcW w:w="12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rPr>
              <w:t>$3.60</w:t>
            </w:r>
          </w:p>
        </w:tc>
        <w:tc>
          <w:tcPr>
            <w:tcW w:w="222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8"/>
              </w:rPr>
              <w:t>$3.90</w:t>
            </w:r>
          </w:p>
        </w:tc>
      </w:tr>
      <w:tr>
        <w:trPr>
          <w:trHeight w:val="325"/>
        </w:trPr>
        <w:tc>
          <w:tcPr>
            <w:tcW w:w="6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earnings per share</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$3.85</w:t>
            </w:r>
          </w:p>
        </w:tc>
        <w:tc>
          <w:tcPr>
            <w:tcW w:w="100" w:type="dxa"/>
            <w:vAlign w:val="bottom"/>
          </w:tcPr>
          <w:p>
            <w:pPr>
              <w:spacing w:after="0"/>
              <w:rPr>
                <w:sz w:val="24"/>
                <w:szCs w:val="24"/>
                <w:color w:val="auto"/>
              </w:rPr>
            </w:pPr>
          </w:p>
        </w:tc>
        <w:tc>
          <w:tcPr>
            <w:tcW w:w="1200" w:type="dxa"/>
            <w:vAlign w:val="bottom"/>
          </w:tcPr>
          <w:p>
            <w:pPr>
              <w:jc w:val="center"/>
              <w:ind w:left="410"/>
              <w:spacing w:after="0"/>
              <w:rPr>
                <w:sz w:val="20"/>
                <w:szCs w:val="20"/>
                <w:color w:val="auto"/>
              </w:rPr>
            </w:pPr>
            <w:r>
              <w:rPr>
                <w:rFonts w:ascii="Times New Roman" w:cs="Times New Roman" w:eastAsia="Times New Roman" w:hAnsi="Times New Roman"/>
                <w:sz w:val="18"/>
                <w:szCs w:val="18"/>
                <w:color w:val="auto"/>
                <w:w w:val="95"/>
              </w:rPr>
              <w:t>$3.70</w:t>
            </w:r>
            <w:r>
              <w:rPr>
                <w:rFonts w:ascii="Times New Roman" w:cs="Times New Roman" w:eastAsia="Times New Roman" w:hAnsi="Times New Roman"/>
                <w:sz w:val="23"/>
                <w:szCs w:val="23"/>
                <w:color w:val="auto"/>
                <w:w w:val="95"/>
                <w:vertAlign w:val="superscript"/>
              </w:rPr>
              <w:t>1</w:t>
            </w:r>
          </w:p>
        </w:tc>
        <w:tc>
          <w:tcPr>
            <w:tcW w:w="222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5"/>
              </w:rPr>
              <w:t>$4.00</w:t>
            </w:r>
            <w:r>
              <w:rPr>
                <w:rFonts w:ascii="Times New Roman" w:cs="Times New Roman" w:eastAsia="Times New Roman" w:hAnsi="Times New Roman"/>
                <w:sz w:val="23"/>
                <w:szCs w:val="23"/>
                <w:color w:val="auto"/>
                <w:w w:val="95"/>
                <w:vertAlign w:val="superscript"/>
              </w:rPr>
              <w:t>1</w:t>
            </w:r>
          </w:p>
        </w:tc>
      </w:tr>
    </w:tbl>
    <w:p>
      <w:pPr>
        <w:spacing w:after="0" w:line="7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9"/>
          <w:szCs w:val="9"/>
          <w:color w:val="auto"/>
        </w:rPr>
        <w:t>1</w:t>
      </w:r>
      <w:r>
        <w:rPr>
          <w:rFonts w:ascii="Times New Roman" w:cs="Times New Roman" w:eastAsia="Times New Roman" w:hAnsi="Times New Roman"/>
          <w:sz w:val="14"/>
          <w:szCs w:val="14"/>
          <w:color w:val="auto"/>
        </w:rPr>
        <w:t>Excludes announced North America water treatment pre-tax restructuring and impairment expenses of approximately $20 million to be recognized in the second quarter. See accompanying</w:t>
      </w:r>
      <w:r>
        <w:rPr>
          <w:rFonts w:ascii="Times New Roman" w:cs="Times New Roman" w:eastAsia="Times New Roman" w:hAnsi="Times New Roman"/>
          <w:sz w:val="9"/>
          <w:szCs w:val="9"/>
          <w:color w:val="auto"/>
        </w:rPr>
        <w:t xml:space="preserve"> </w:t>
      </w:r>
      <w:r>
        <w:rPr>
          <w:rFonts w:ascii="Times New Roman" w:cs="Times New Roman" w:eastAsia="Times New Roman" w:hAnsi="Times New Roman"/>
          <w:sz w:val="14"/>
          <w:szCs w:val="14"/>
          <w:color w:val="auto"/>
        </w:rPr>
        <w:t>GAAP to Non-GAAP reconciliations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revised its full-year 2026 sales growth outlook to a range of 2% to 4%, lowering the high end compared to the previous range of 2% to 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lowered its full-year 2026 adjusted EPS outlook to be between $3.70 and $4.00, down from $3.85 to $4.15.</w:t>
      </w:r>
    </w:p>
    <w:p>
      <w:pPr>
        <w:spacing w:after="0" w:line="212" w:lineRule="exact"/>
        <w:rPr>
          <w:sz w:val="20"/>
          <w:szCs w:val="20"/>
          <w:color w:val="auto"/>
        </w:rPr>
      </w:pPr>
    </w:p>
    <w:p>
      <w:pPr>
        <w:jc w:val="both"/>
        <w:spacing w:after="0" w:line="371" w:lineRule="auto"/>
        <w:rPr>
          <w:sz w:val="20"/>
          <w:szCs w:val="20"/>
          <w:color w:val="auto"/>
        </w:rPr>
      </w:pPr>
      <w:r>
        <w:rPr>
          <w:rFonts w:ascii="Times New Roman" w:cs="Times New Roman" w:eastAsia="Times New Roman" w:hAnsi="Times New Roman"/>
          <w:sz w:val="18"/>
          <w:szCs w:val="18"/>
          <w:color w:val="auto"/>
        </w:rPr>
        <w:t>Shafer concluded, “Primarily based on our latest view of our China business and partially due to increased uncertainty around regulatory changes scheduled to take effect later this year in North America, we have updated our full-year expectations. In China, we expect market conditions to remain challenging through the year and have identified several actions to improve performance. These actions are pending the conclusion of our assessment of the business. In North America, we remain confident in our competitive positioning and the underlying strength of the business despite a slower-than-expected start to the year driven by softer macro conditions.”</w:t>
      </w:r>
    </w:p>
    <w:p>
      <w:pPr>
        <w:spacing w:after="0" w:line="74" w:lineRule="exact"/>
        <w:rPr>
          <w:sz w:val="20"/>
          <w:szCs w:val="20"/>
          <w:color w:val="auto"/>
        </w:rPr>
      </w:pPr>
    </w:p>
    <w:p>
      <w:pPr>
        <w:jc w:val="both"/>
        <w:ind w:right="20"/>
        <w:spacing w:after="0" w:line="391" w:lineRule="auto"/>
        <w:rPr>
          <w:sz w:val="20"/>
          <w:szCs w:val="20"/>
          <w:color w:val="auto"/>
        </w:rPr>
      </w:pPr>
      <w:r>
        <w:rPr>
          <w:rFonts w:ascii="Times New Roman" w:cs="Times New Roman" w:eastAsia="Times New Roman" w:hAnsi="Times New Roman"/>
          <w:sz w:val="18"/>
          <w:szCs w:val="18"/>
          <w:color w:val="auto"/>
        </w:rPr>
        <w:t>“We believe our strong balance sheet and free cash flow give us the flexibility to support organic growth, dividends and share repurchases while continuing to pursue strategic acquisitions to support our focus on portfolio management.”</w:t>
      </w:r>
    </w:p>
    <w:p>
      <w:pPr>
        <w:spacing w:after="0" w:line="68" w:lineRule="exact"/>
        <w:rPr>
          <w:sz w:val="20"/>
          <w:szCs w:val="20"/>
          <w:color w:val="auto"/>
        </w:rPr>
      </w:pPr>
    </w:p>
    <w:p>
      <w:pPr>
        <w:jc w:val="both"/>
        <w:spacing w:after="0" w:line="391" w:lineRule="auto"/>
        <w:rPr>
          <w:sz w:val="20"/>
          <w:szCs w:val="20"/>
          <w:color w:val="auto"/>
        </w:rPr>
      </w:pPr>
      <w:r>
        <w:rPr>
          <w:rFonts w:ascii="Times New Roman" w:cs="Times New Roman" w:eastAsia="Times New Roman" w:hAnsi="Times New Roman"/>
          <w:sz w:val="18"/>
          <w:szCs w:val="18"/>
          <w:color w:val="auto"/>
        </w:rPr>
        <w:t>The Company’s guidance excludes the potential impacts from future acquisitions, any potential outcomes of the assessment of its China business and changes to tariffs after the date of this release.</w:t>
      </w:r>
    </w:p>
    <w:p>
      <w:pPr>
        <w:spacing w:after="0" w:line="55"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A. O. Smith will host a webcasted conference call at 10:00 a.m. (Eastern Daylight Time) today. The call can be heard live on the Company’s website. An audio replay of the call will be available on the Company’s website after the live event. To access the archived audio replay, go to the “Investors” page and select the First Quarter 2026 Earnings Call link.</w:t>
      </w:r>
    </w:p>
    <w:p>
      <w:pPr>
        <w:spacing w:after="0" w:line="83"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To provide improved transparency into the operating results of its business, the Company is providing non-GAAP measures. Free cash flow is defined as cash provided by operations less capital expenditures. Adjusted EPS excludes the impact of restructuring and impairment charges. Reconciliations from GAAP measures to non-GAAP measures are provided in the financial information included in this news release.</w:t>
      </w:r>
    </w:p>
    <w:p>
      <w:pPr>
        <w:sectPr>
          <w:pgSz w:w="11900" w:h="16838" w:orient="portrait"/>
          <w:cols w:equalWidth="0" w:num="1">
            <w:col w:w="11240"/>
          </w:cols>
          <w:pgMar w:left="320" w:top="1053"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60" w:lineRule="exact"/>
        <w:rPr>
          <w:sz w:val="20"/>
          <w:szCs w:val="20"/>
          <w:color w:val="auto"/>
        </w:rPr>
      </w:pPr>
    </w:p>
    <w:p>
      <w:pPr>
        <w:jc w:val="both"/>
        <w:spacing w:after="0" w:line="364" w:lineRule="auto"/>
        <w:rPr>
          <w:sz w:val="20"/>
          <w:szCs w:val="20"/>
          <w:color w:val="auto"/>
        </w:rPr>
      </w:pPr>
      <w:r>
        <w:rPr>
          <w:rFonts w:ascii="Times New Roman" w:cs="Times New Roman" w:eastAsia="Times New Roman" w:hAnsi="Times New Roman"/>
          <w:sz w:val="18"/>
          <w:szCs w:val="18"/>
          <w:i w:val="1"/>
          <w:iCs w:val="1"/>
          <w:color w:val="auto"/>
        </w:rPr>
        <w:t>This release contains statements that the Company believes are “forward-looking statements” within the meaning of the Private Securities Litigation Reform Act of 1995. Forward-looking statements generally can be identified by the use of words such as “may,” “will,” “expect,” “intend,” “estimate,” “anticipate,” “believe,” “forecast,” “continue,” “guidance,” “outlook”, “confident” or words of similar meaning. All forward-looking statements are subject to risks and uncertainties that could cause actual results to differ materially from those anticipated as of the date of this release. Important factors that could cause actual results to differ materially from these expectations include, among other things, the following: further weakening in North American residential or commercial construction or instability in the Company’s replacement markets; failure to realize the expected benefits of acquisitions or expected synergies; difficulties in predicting results of operations of an acquired business; negative impact to the Company’s businesses from international tariffs, including any new or increased tariffs that could also trigger retaliatory responses from other countries, as well as trade disputes and geopolitical differences, including the conflicts in Ukraine and the Middle East; further softening in U.S. residential and commercial water heater demand; negative impacts to the Company, particularly the demand for its products, resulting from global inflationary pressures or a potential recession in one or more of the markets in which the Company participates; the Company’s ability to continue to obtain commodities, components, parts and accessories on a timely basis through its supply chain and at expected costs, including the recent volatility in fuel and other material prices; inability of the Company to implement or maintain pricing actions; inconsistent recovery of the Chinese economy or a further decline in the growth rate of consumer spending or housing sales in China; the availability, timing or effects of China stimulus programs; uncertain outcomes and costs and other potential impacts of the Company’s assessment relating to the Company’s China business; the failure to realize the expected benefits of restructuring actions; further weakening in the high-efficiency gas boiler segment in the U.S.; substantial defaults in payment by, material reduction in purchases by or the loss, bankruptcy or insolvency of a major customer; foreign currency fluctuations; failure to realize the expected benefits, timing and extent of regulatory changes; competitive pressures on the Company’s businesses, including new technologies and new competitors; the impact of potential information technology or data security breaches; negative impact of changes in government regulations or regulatory requirements; the inability to respond to secular trends toward decarbonization and energy efficiency; and adverse developments in general economic, political and business conditions in key regions of the world. Additional factors are discussed in the Company’s filings with Securities and Exchange Commission, including the Company’s Annual Report on Form 10-K for the year ended December 31, 2025, quarterly reports on Form 10-Q and current reports on Form 8-K. Forward-looking statements included in this news release are made only as of the date of this release, and the Company is under no obligation to update these statements to reflect subsequent events or circumstances. All subsequent written and oral forward-looking statements attributed to the Company, or persons acting on its behalf, are qualified entirely by these cautionary statements.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 O. Smith</w:t>
      </w:r>
    </w:p>
    <w:p>
      <w:pPr>
        <w:spacing w:after="0" w:line="162" w:lineRule="exact"/>
        <w:rPr>
          <w:sz w:val="20"/>
          <w:szCs w:val="20"/>
          <w:color w:val="auto"/>
        </w:rPr>
      </w:pPr>
    </w:p>
    <w:p>
      <w:pPr>
        <w:jc w:val="both"/>
        <w:spacing w:after="0" w:line="375" w:lineRule="auto"/>
        <w:rPr>
          <w:sz w:val="20"/>
          <w:szCs w:val="20"/>
          <w:color w:val="auto"/>
        </w:rPr>
      </w:pPr>
      <w:r>
        <w:rPr>
          <w:rFonts w:ascii="Times New Roman" w:cs="Times New Roman" w:eastAsia="Times New Roman" w:hAnsi="Times New Roman"/>
          <w:sz w:val="18"/>
          <w:szCs w:val="18"/>
          <w:color w:val="auto"/>
        </w:rPr>
        <w:t>A. O. Smith Corporation, with headquarters in Milwaukee, Wisconsin, is a global leader applying innovative technology and energy-efficient solutions to products manufactured and marketed worldwide. Listed on the New York Stock Exchange (NYSE: AOS), the Company is one of the world’s leading manufacturers of residential and commercial water heating equipment and boilers, as well as a manufacturer of water treatment products. For more information, visit www.aosmith.com.</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SOURCE: A. O. Smith Corporation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03"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Earnings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7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842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4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579.9</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588.5</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192.6</w:t>
            </w: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30"/>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8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provision for income taxes</w:t>
            </w:r>
          </w:p>
        </w:tc>
        <w:tc>
          <w:tcPr>
            <w:tcW w:w="36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30"/>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earnings</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share of common stock</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4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0.85</w:t>
            </w:r>
          </w:p>
        </w:tc>
        <w:tc>
          <w:tcPr>
            <w:tcW w:w="100" w:type="dxa"/>
            <w:vAlign w:val="bottom"/>
          </w:tcPr>
          <w:p>
            <w:pPr>
              <w:spacing w:after="0"/>
              <w:rPr>
                <w:sz w:val="17"/>
                <w:szCs w:val="17"/>
                <w:color w:val="auto"/>
              </w:rPr>
            </w:pPr>
          </w:p>
        </w:tc>
        <w:tc>
          <w:tcPr>
            <w:tcW w:w="38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0.95</w:t>
            </w:r>
          </w:p>
        </w:tc>
        <w:tc>
          <w:tcPr>
            <w:tcW w:w="0" w:type="dxa"/>
            <w:vAlign w:val="bottom"/>
          </w:tcPr>
          <w:p>
            <w:pPr>
              <w:spacing w:after="0"/>
              <w:rPr>
                <w:sz w:val="1"/>
                <w:szCs w:val="1"/>
                <w:color w:val="auto"/>
              </w:rPr>
            </w:pPr>
          </w:p>
        </w:tc>
      </w:tr>
      <w:tr>
        <w:trPr>
          <w:trHeight w:val="20"/>
        </w:trPr>
        <w:tc>
          <w:tcPr>
            <w:tcW w:w="84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Average common shares outstanding (000’s omitted)</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139,167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144,408</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7"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40" w:type="dxa"/>
            <w:vAlign w:val="bottom"/>
          </w:tcPr>
          <w:p>
            <w:pPr>
              <w:spacing w:after="0"/>
              <w:rPr>
                <w:sz w:val="17"/>
                <w:szCs w:val="17"/>
                <w:color w:val="auto"/>
              </w:rPr>
            </w:pPr>
          </w:p>
        </w:tc>
        <w:tc>
          <w:tcPr>
            <w:tcW w:w="156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(Unaudited) March</w:t>
            </w:r>
          </w:p>
        </w:tc>
        <w:tc>
          <w:tcPr>
            <w:tcW w:w="1440" w:type="dxa"/>
            <w:vAlign w:val="bottom"/>
            <w:gridSpan w:val="2"/>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175"/>
        </w:trPr>
        <w:tc>
          <w:tcPr>
            <w:tcW w:w="8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60" w:type="dxa"/>
            <w:vAlign w:val="bottom"/>
          </w:tcPr>
          <w:p>
            <w:pPr>
              <w:jc w:val="right"/>
              <w:ind w:right="510"/>
              <w:spacing w:after="0" w:line="17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24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tcPr>
          <w:p>
            <w:pPr>
              <w:spacing w:after="0"/>
              <w:rPr>
                <w:sz w:val="19"/>
                <w:szCs w:val="19"/>
                <w:color w:val="auto"/>
              </w:rPr>
            </w:pP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Receivables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582.3</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488.5</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479.3</w:t>
            </w:r>
          </w:p>
        </w:tc>
        <w:tc>
          <w:tcPr>
            <w:tcW w:w="0" w:type="dxa"/>
            <w:vAlign w:val="bottom"/>
          </w:tcPr>
          <w:p>
            <w:pPr>
              <w:spacing w:after="0"/>
              <w:rPr>
                <w:sz w:val="1"/>
                <w:szCs w:val="1"/>
                <w:color w:val="auto"/>
              </w:rPr>
            </w:pPr>
          </w:p>
        </w:tc>
      </w:tr>
      <w:tr>
        <w:trPr>
          <w:trHeight w:val="229"/>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current assets</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1,291.5</w:t>
            </w:r>
          </w:p>
        </w:tc>
        <w:tc>
          <w:tcPr>
            <w:tcW w:w="0" w:type="dxa"/>
            <w:vAlign w:val="bottom"/>
          </w:tcPr>
          <w:p>
            <w:pPr>
              <w:spacing w:after="0"/>
              <w:rPr>
                <w:sz w:val="1"/>
                <w:szCs w:val="1"/>
                <w:color w:val="auto"/>
              </w:rPr>
            </w:pPr>
          </w:p>
        </w:tc>
      </w:tr>
      <w:tr>
        <w:trPr>
          <w:trHeight w:val="229"/>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Goodwill and other intangibles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assets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0" w:type="dxa"/>
            <w:vAlign w:val="bottom"/>
          </w:tcPr>
          <w:p>
            <w:pPr>
              <w:spacing w:after="0"/>
              <w:rPr>
                <w:sz w:val="1"/>
                <w:szCs w:val="1"/>
                <w:color w:val="auto"/>
              </w:rPr>
            </w:pPr>
          </w:p>
        </w:tc>
      </w:tr>
      <w:tr>
        <w:trPr>
          <w:trHeight w:val="223"/>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3,650.3</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3,142.8</w:t>
            </w:r>
          </w:p>
        </w:tc>
        <w:tc>
          <w:tcPr>
            <w:tcW w:w="0" w:type="dxa"/>
            <w:vAlign w:val="bottom"/>
          </w:tcPr>
          <w:p>
            <w:pPr>
              <w:spacing w:after="0"/>
              <w:rPr>
                <w:sz w:val="1"/>
                <w:szCs w:val="1"/>
                <w:color w:val="auto"/>
              </w:rPr>
            </w:pP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2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Trade payables</w:t>
            </w: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c>
          <w:tcPr>
            <w:tcW w:w="120" w:type="dxa"/>
            <w:vAlign w:val="bottom"/>
          </w:tcPr>
          <w:p>
            <w:pPr>
              <w:spacing w:after="0"/>
              <w:rPr>
                <w:sz w:val="19"/>
                <w:szCs w:val="19"/>
                <w:color w:val="auto"/>
              </w:rPr>
            </w:pPr>
          </w:p>
        </w:tc>
        <w:tc>
          <w:tcPr>
            <w:tcW w:w="3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504.1</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payroll and benefits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liabilities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147.5</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Product warranties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Debt due within one year</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0" w:type="dxa"/>
            <w:vAlign w:val="bottom"/>
          </w:tcPr>
          <w:p>
            <w:pPr>
              <w:spacing w:after="0"/>
              <w:rPr>
                <w:sz w:val="1"/>
                <w:szCs w:val="1"/>
                <w:color w:val="auto"/>
              </w:rPr>
            </w:pPr>
          </w:p>
        </w:tc>
      </w:tr>
      <w:tr>
        <w:trPr>
          <w:trHeight w:val="229"/>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Pension liabilities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0"/>
        </w:trPr>
        <w:tc>
          <w:tcPr>
            <w:tcW w:w="82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liabilities</w:t>
            </w: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w:t>
            </w: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Stockholders’ equity</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1,877.9</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1,858.0</w:t>
            </w: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3,650.3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3,142.8</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87"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7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842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4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earnings</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Pr>
          <w:p>
            <w:pPr>
              <w:spacing w:after="0"/>
              <w:rPr>
                <w:sz w:val="19"/>
                <w:szCs w:val="19"/>
                <w:color w:val="auto"/>
              </w:rPr>
            </w:pP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Adjustments to reconcile net earnings to net cash provided by (used in) operating activities: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Share based compensation expense</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9"/>
        </w:trPr>
        <w:tc>
          <w:tcPr>
            <w:tcW w:w="84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Deferred income taxes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84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changes in operating assets and liabilities: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4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Current assets and liabilities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w:t>
            </w:r>
          </w:p>
        </w:tc>
      </w:tr>
      <w:tr>
        <w:trPr>
          <w:trHeight w:val="229"/>
        </w:trPr>
        <w:tc>
          <w:tcPr>
            <w:tcW w:w="84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Noncurrent assets and liabilities</w:t>
            </w:r>
          </w:p>
        </w:tc>
        <w:tc>
          <w:tcPr>
            <w:tcW w:w="3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r>
      <w:tr>
        <w:trPr>
          <w:trHeight w:val="22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Capital expenditures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Acquisitions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Investment in marketable securities</w:t>
            </w: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proceeds from sale of marketable securities</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r>
      <w:tr>
        <w:trPr>
          <w:trHeight w:val="223"/>
        </w:trPr>
        <w:tc>
          <w:tcPr>
            <w:tcW w:w="8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Used in Investing Activities</w:t>
            </w:r>
          </w:p>
        </w:tc>
        <w:tc>
          <w:tcPr>
            <w:tcW w:w="3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(480.5)</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debt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Repayments of debt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30"/>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repurchases</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(120.6)</w:t>
            </w: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payments from stock option activity</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9"/>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Dividends paid</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(Used in) Financing Activities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r>
      <w:tr>
        <w:trPr>
          <w:trHeight w:val="229"/>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3"/>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30"/>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Cash and cash equivalents - beginning of period</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239.6</w:t>
            </w: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 End of Period</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173.0</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8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Business Segments</w:t>
      </w:r>
    </w:p>
    <w:p>
      <w:pPr>
        <w:spacing w:after="0" w:line="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371" w:lineRule="exact"/>
        <w:rPr>
          <w:sz w:val="20"/>
          <w:szCs w:val="20"/>
          <w:color w:val="auto"/>
        </w:rPr>
      </w:pPr>
    </w:p>
    <w:p>
      <w:pPr>
        <w:jc w:val="center"/>
        <w:ind w:left="8420"/>
        <w:spacing w:after="0"/>
        <w:rPr>
          <w:sz w:val="20"/>
          <w:szCs w:val="20"/>
          <w:color w:val="auto"/>
        </w:rPr>
      </w:pPr>
      <w:r>
        <w:rPr>
          <w:rFonts w:ascii="Times New Roman" w:cs="Times New Roman" w:eastAsia="Times New Roman" w:hAnsi="Times New Roman"/>
          <w:sz w:val="18"/>
          <w:szCs w:val="18"/>
          <w:color w:val="auto"/>
        </w:rPr>
        <w:t>Three Months Ended</w:t>
      </w:r>
    </w:p>
    <w:p>
      <w:pPr>
        <w:jc w:val="center"/>
        <w:ind w:left="8420"/>
        <w:spacing w:after="0"/>
        <w:rPr>
          <w:sz w:val="20"/>
          <w:szCs w:val="20"/>
          <w:color w:val="auto"/>
        </w:rPr>
      </w:pPr>
      <w:r>
        <w:rPr>
          <w:rFonts w:ascii="Times New Roman" w:cs="Times New Roman" w:eastAsia="Times New Roman" w:hAnsi="Times New Roman"/>
          <w:sz w:val="18"/>
          <w:szCs w:val="18"/>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440" w:type="dxa"/>
            <w:vAlign w:val="bottom"/>
            <w:tcBorders>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1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09"/>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North America</w:t>
            </w:r>
          </w:p>
        </w:tc>
        <w:tc>
          <w:tcPr>
            <w:tcW w:w="3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753.4</w:t>
            </w:r>
          </w:p>
        </w:tc>
        <w:tc>
          <w:tcPr>
            <w:tcW w:w="100" w:type="dxa"/>
            <w:vAlign w:val="bottom"/>
          </w:tcPr>
          <w:p>
            <w:pPr>
              <w:spacing w:after="0"/>
              <w:rPr>
                <w:sz w:val="19"/>
                <w:szCs w:val="19"/>
                <w:color w:val="auto"/>
              </w:rPr>
            </w:pPr>
          </w:p>
        </w:tc>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748.7</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 of World</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Inter-segment sales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963.9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North America</w:t>
            </w:r>
          </w:p>
        </w:tc>
        <w:tc>
          <w:tcPr>
            <w:tcW w:w="3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0" w:type="dxa"/>
            <w:vAlign w:val="bottom"/>
          </w:tcPr>
          <w:p>
            <w:pPr>
              <w:spacing w:after="0"/>
              <w:rPr>
                <w:sz w:val="1"/>
                <w:szCs w:val="1"/>
                <w:color w:val="auto"/>
              </w:rPr>
            </w:pPr>
          </w:p>
        </w:tc>
      </w:tr>
      <w:tr>
        <w:trPr>
          <w:trHeight w:val="229"/>
        </w:trPr>
        <w:tc>
          <w:tcPr>
            <w:tcW w:w="8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 of World</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Inter-segment earnings elimination</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187.8</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0" w:type="dxa"/>
            <w:vAlign w:val="bottom"/>
          </w:tcPr>
          <w:p>
            <w:pPr>
              <w:spacing w:after="0"/>
              <w:rPr>
                <w:sz w:val="1"/>
                <w:szCs w:val="1"/>
                <w:color w:val="auto"/>
              </w:rPr>
            </w:pPr>
          </w:p>
        </w:tc>
      </w:tr>
      <w:tr>
        <w:trPr>
          <w:trHeight w:val="23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expense</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3"/>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Earnings before income taxes</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0" w:type="dxa"/>
            <w:vAlign w:val="bottom"/>
          </w:tcPr>
          <w:p>
            <w:pPr>
              <w:spacing w:after="0"/>
              <w:rPr>
                <w:sz w:val="1"/>
                <w:szCs w:val="1"/>
                <w:color w:val="auto"/>
              </w:rPr>
            </w:pPr>
          </w:p>
        </w:tc>
      </w:tr>
      <w:tr>
        <w:trPr>
          <w:trHeight w:val="229"/>
        </w:trPr>
        <w:tc>
          <w:tcPr>
            <w:tcW w:w="8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Provision for incomes taxes</w:t>
            </w:r>
          </w:p>
        </w:tc>
        <w:tc>
          <w:tcPr>
            <w:tcW w:w="3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48"/>
        </w:trPr>
        <w:tc>
          <w:tcPr>
            <w:tcW w:w="8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earnings</w:t>
            </w:r>
          </w:p>
        </w:tc>
        <w:tc>
          <w:tcPr>
            <w:tcW w:w="3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87"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 O. SMITH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Free Cash Flow</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reconciliation of reported cash flow from operating activities to free cash flow (non-GAAP):</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8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Three Months Ended</w:t>
            </w:r>
          </w:p>
        </w:tc>
        <w:tc>
          <w:tcPr>
            <w:tcW w:w="0" w:type="dxa"/>
            <w:vAlign w:val="bottom"/>
          </w:tcPr>
          <w:p>
            <w:pPr>
              <w:spacing w:after="0"/>
              <w:rPr>
                <w:sz w:val="1"/>
                <w:szCs w:val="1"/>
                <w:color w:val="auto"/>
              </w:rPr>
            </w:pPr>
          </w:p>
        </w:tc>
      </w:tr>
      <w:tr>
        <w:trPr>
          <w:trHeight w:val="239"/>
        </w:trPr>
        <w:tc>
          <w:tcPr>
            <w:tcW w:w="8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color w:val="auto"/>
              </w:rPr>
              <w:t>March 31,</w:t>
            </w: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8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2026</w:t>
            </w:r>
          </w:p>
        </w:tc>
        <w:tc>
          <w:tcPr>
            <w:tcW w:w="3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provided by operating activities (GAAP)</w:t>
            </w:r>
          </w:p>
        </w:tc>
        <w:tc>
          <w:tcPr>
            <w:tcW w:w="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29"/>
        </w:trPr>
        <w:tc>
          <w:tcPr>
            <w:tcW w:w="8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Capital expenditures</w:t>
            </w:r>
          </w:p>
        </w:tc>
        <w:tc>
          <w:tcPr>
            <w:tcW w:w="2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ind w:left="60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0" w:type="dxa"/>
            <w:vAlign w:val="bottom"/>
          </w:tcPr>
          <w:p>
            <w:pPr>
              <w:spacing w:after="0"/>
              <w:rPr>
                <w:sz w:val="1"/>
                <w:szCs w:val="1"/>
                <w:color w:val="auto"/>
              </w:rPr>
            </w:pPr>
          </w:p>
        </w:tc>
      </w:tr>
      <w:tr>
        <w:trPr>
          <w:trHeight w:val="248"/>
        </w:trPr>
        <w:tc>
          <w:tcPr>
            <w:tcW w:w="8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Free cash flow (non-GAAP)</w:t>
            </w:r>
          </w:p>
        </w:tc>
        <w:tc>
          <w:tcPr>
            <w:tcW w:w="2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bottom w:val="single" w:sz="8" w:color="CCEEFF"/>
            </w:tcBorders>
            <w:vMerge w:val="restart"/>
          </w:tcPr>
          <w:p>
            <w:pPr>
              <w:jc w:val="center"/>
              <w:ind w:left="3030"/>
              <w:spacing w:after="0"/>
              <w:rPr>
                <w:sz w:val="20"/>
                <w:szCs w:val="20"/>
                <w:color w:val="auto"/>
              </w:rPr>
            </w:pPr>
            <w:r>
              <w:rPr>
                <w:rFonts w:ascii="Times New Roman" w:cs="Times New Roman" w:eastAsia="Times New Roman" w:hAnsi="Times New Roman"/>
                <w:sz w:val="18"/>
                <w:szCs w:val="18"/>
                <w:b w:val="1"/>
                <w:bCs w:val="1"/>
                <w:color w:val="auto"/>
                <w:w w:val="98"/>
              </w:rPr>
              <w:t>A. O. SMITH CORPORATION</w:t>
            </w: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1"/>
        </w:trPr>
        <w:tc>
          <w:tcPr>
            <w:tcW w:w="81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812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2026 Adjusted EPS Guidance and 2025 EPS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8120" w:type="dxa"/>
            <w:vAlign w:val="bottom"/>
          </w:tcPr>
          <w:p>
            <w:pPr>
              <w:jc w:val="center"/>
              <w:ind w:left="3030"/>
              <w:spacing w:after="0"/>
              <w:rPr>
                <w:sz w:val="20"/>
                <w:szCs w:val="20"/>
                <w:color w:val="auto"/>
              </w:rPr>
            </w:pPr>
            <w:r>
              <w:rPr>
                <w:rFonts w:ascii="Times New Roman" w:cs="Times New Roman" w:eastAsia="Times New Roman" w:hAnsi="Times New Roman"/>
                <w:sz w:val="18"/>
                <w:szCs w:val="18"/>
                <w:color w:val="auto"/>
              </w:rPr>
              <w:t>(unaudited)</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is a reconciliation of diluted EPS to adjusted EPS (non-GAAP) (all items are net of tax):</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120" w:type="dxa"/>
            <w:vAlign w:val="bottom"/>
          </w:tcPr>
          <w:p>
            <w:pPr>
              <w:spacing w:after="0"/>
              <w:rPr>
                <w:sz w:val="24"/>
                <w:szCs w:val="24"/>
                <w:color w:val="auto"/>
              </w:rPr>
            </w:pPr>
          </w:p>
        </w:tc>
        <w:tc>
          <w:tcPr>
            <w:tcW w:w="1360" w:type="dxa"/>
            <w:vAlign w:val="bottom"/>
            <w:gridSpan w:val="4"/>
          </w:tcPr>
          <w:p>
            <w:pPr>
              <w:jc w:val="right"/>
              <w:ind w:right="410"/>
              <w:spacing w:after="0"/>
              <w:rPr>
                <w:sz w:val="20"/>
                <w:szCs w:val="20"/>
                <w:color w:val="auto"/>
              </w:rPr>
            </w:pPr>
            <w:r>
              <w:rPr>
                <w:rFonts w:ascii="Times New Roman" w:cs="Times New Roman" w:eastAsia="Times New Roman" w:hAnsi="Times New Roman"/>
                <w:sz w:val="18"/>
                <w:szCs w:val="18"/>
                <w:color w:val="auto"/>
              </w:rPr>
              <w:t>2026</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gridSpan w:val="4"/>
          </w:tcPr>
          <w:p>
            <w:pPr>
              <w:jc w:val="center"/>
              <w:ind w:right="720"/>
              <w:spacing w:after="0"/>
              <w:rPr>
                <w:sz w:val="20"/>
                <w:szCs w:val="20"/>
                <w:color w:val="auto"/>
              </w:rPr>
            </w:pPr>
            <w:r>
              <w:rPr>
                <w:rFonts w:ascii="Times New Roman" w:cs="Times New Roman" w:eastAsia="Times New Roman" w:hAnsi="Times New Roman"/>
                <w:sz w:val="18"/>
                <w:szCs w:val="18"/>
                <w:color w:val="auto"/>
                <w:w w:val="98"/>
              </w:rPr>
              <w:t>Guidance</w:t>
            </w:r>
          </w:p>
        </w:tc>
        <w:tc>
          <w:tcPr>
            <w:tcW w:w="420" w:type="dxa"/>
            <w:vAlign w:val="bottom"/>
          </w:tcPr>
          <w:p>
            <w:pPr>
              <w:spacing w:after="0"/>
              <w:rPr>
                <w:sz w:val="21"/>
                <w:szCs w:val="21"/>
                <w:color w:val="auto"/>
              </w:rPr>
            </w:pPr>
          </w:p>
        </w:tc>
        <w:tc>
          <w:tcPr>
            <w:tcW w:w="94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2025</w:t>
            </w:r>
          </w:p>
        </w:tc>
        <w:tc>
          <w:tcPr>
            <w:tcW w:w="0" w:type="dxa"/>
            <w:vAlign w:val="bottom"/>
          </w:tcPr>
          <w:p>
            <w:pPr>
              <w:spacing w:after="0"/>
              <w:rPr>
                <w:sz w:val="1"/>
                <w:szCs w:val="1"/>
                <w:color w:val="auto"/>
              </w:rPr>
            </w:pPr>
          </w:p>
        </w:tc>
      </w:tr>
      <w:tr>
        <w:trPr>
          <w:trHeight w:val="223"/>
        </w:trPr>
        <w:tc>
          <w:tcPr>
            <w:tcW w:w="81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EPS (GAAP)</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3.60-3.90</w:t>
            </w:r>
          </w:p>
        </w:tc>
        <w:tc>
          <w:tcPr>
            <w:tcW w:w="3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30"/>
        </w:trPr>
        <w:tc>
          <w:tcPr>
            <w:tcW w:w="81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Restructuring and impairment expenses</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ind w:left="360"/>
              <w:spacing w:after="0" w:line="230" w:lineRule="exact"/>
              <w:rPr>
                <w:sz w:val="20"/>
                <w:szCs w:val="20"/>
                <w:color w:val="auto"/>
              </w:rPr>
            </w:pPr>
            <w:r>
              <w:rPr>
                <w:rFonts w:ascii="Times New Roman" w:cs="Times New Roman" w:eastAsia="Times New Roman" w:hAnsi="Times New Roman"/>
                <w:sz w:val="18"/>
                <w:szCs w:val="18"/>
                <w:color w:val="auto"/>
              </w:rPr>
              <w:t xml:space="preserve">0.10 </w:t>
            </w:r>
            <w:r>
              <w:rPr>
                <w:rFonts w:ascii="Times New Roman" w:cs="Times New Roman" w:eastAsia="Times New Roman" w:hAnsi="Times New Roman"/>
                <w:sz w:val="21"/>
                <w:szCs w:val="21"/>
                <w:color w:val="auto"/>
                <w:vertAlign w:val="superscript"/>
              </w:rPr>
              <w:t>(1)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EPS (non-GAAP)</w:t>
            </w:r>
          </w:p>
        </w:tc>
        <w:tc>
          <w:tcPr>
            <w:tcW w:w="2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3.70-4.00</w:t>
            </w:r>
          </w:p>
        </w:tc>
        <w:tc>
          <w:tcPr>
            <w:tcW w:w="3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0" w:type="dxa"/>
            <w:vAlign w:val="bottom"/>
          </w:tcPr>
          <w:p>
            <w:pPr>
              <w:spacing w:after="0"/>
              <w:rPr>
                <w:sz w:val="1"/>
                <w:szCs w:val="1"/>
                <w:color w:val="auto"/>
              </w:rPr>
            </w:pP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ind w:left="340" w:hanging="332"/>
        <w:spacing w:after="0" w:line="229" w:lineRule="auto"/>
        <w:tabs>
          <w:tab w:leader="none" w:pos="328" w:val="left"/>
        </w:tabs>
        <w:numPr>
          <w:ilvl w:val="0"/>
          <w:numId w:val="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announced North America water treatment pre-tax restructuring and impairment expenses of approximately $20 million to be recognized in the second quarter.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lvl w:ilvl="1">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2026-04-30T05:59:09Z</dcterms:created>
  <dcterms:modified xsi:type="dcterms:W3CDTF">2026-04-30T05:59:09Z</dcterms:modified>
</cp:coreProperties>
</file>