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56" w:after="283"/>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11" w:after="283"/>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13" w:after="283"/>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120" w:after="12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FORM 8-K</w:t>
      </w:r>
    </w:p>
    <w:p>
      <w:pPr>
        <w:pStyle w:val="TextBody"/>
        <w:bidi w:val="0"/>
        <w:spacing w:lineRule="auto" w:line="288" w:before="120" w:after="283"/>
        <w:jc w:val="center"/>
        <w:rPr>
          <w:color w:val="000000"/>
        </w:rPr>
      </w:pPr>
      <w:r>
        <w:rPr>
          <w:color w:val="000000"/>
        </w:rPr>
        <w:t>——————————————</w:t>
      </w:r>
    </w:p>
    <w:p>
      <w:pPr>
        <w:pStyle w:val="TextBody"/>
        <w:bidi w:val="0"/>
        <w:spacing w:lineRule="auto" w:line="273" w:before="187"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71"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73"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before="5" w:after="283"/>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May 19, 2026</w:t>
      </w:r>
    </w:p>
    <w:p>
      <w:pPr>
        <w:pStyle w:val="TextBody"/>
        <w:bidi w:val="0"/>
        <w:spacing w:lineRule="auto" w:line="288" w:before="120" w:after="283"/>
        <w:jc w:val="center"/>
        <w:rPr>
          <w:color w:val="000000"/>
        </w:rPr>
      </w:pPr>
      <w:r>
        <w:rPr>
          <w:color w:val="000000"/>
        </w:rPr>
        <w:t>——————————————</w:t>
      </w:r>
    </w:p>
    <w:p>
      <w:pPr>
        <w:pStyle w:val="TextBody"/>
        <w:bidi w:val="0"/>
        <w:spacing w:lineRule="auto" w:line="288" w:before="173" w:after="283"/>
        <w:jc w:val="center"/>
        <w:rPr>
          <w:rFonts w:ascii="Times New Roman;serif" w:hAnsi="Times New Roman;serif"/>
          <w:b/>
          <w:color w:val="000000"/>
          <w:sz w:val="46"/>
        </w:rPr>
      </w:pPr>
      <w:r>
        <w:rPr>
          <w:rFonts w:ascii="Times New Roman;serif" w:hAnsi="Times New Roman;serif"/>
          <w:b/>
          <w:color w:val="000000"/>
          <w:sz w:val="46"/>
        </w:rPr>
        <w:t>A. O. Smith Corporation</w:t>
      </w:r>
    </w:p>
    <w:p>
      <w:pPr>
        <w:pStyle w:val="TextBody"/>
        <w:bidi w:val="0"/>
        <w:spacing w:lineRule="auto" w:line="288" w:before="49"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120" w:after="283"/>
        <w:jc w:val="center"/>
        <w:rPr>
          <w:color w:val="000000"/>
        </w:rPr>
      </w:pPr>
      <w:r>
        <w:rPr>
          <w:color w:val="000000"/>
        </w:rPr>
        <w:t>——————————————</w:t>
      </w:r>
    </w:p>
    <w:tbl>
      <w:tblPr>
        <w:tblW w:w="5271" w:type="dxa"/>
        <w:jc w:val="center"/>
        <w:tblInd w:w="0" w:type="dxa"/>
        <w:tblLayout w:type="fixed"/>
        <w:tblCellMar>
          <w:top w:w="28" w:type="dxa"/>
          <w:left w:w="28" w:type="dxa"/>
          <w:bottom w:w="28" w:type="dxa"/>
          <w:right w:w="28" w:type="dxa"/>
        </w:tblCellMar>
      </w:tblPr>
      <w:tblGrid>
        <w:gridCol w:w="748"/>
        <w:gridCol w:w="658"/>
        <w:gridCol w:w="663"/>
        <w:gridCol w:w="109"/>
        <w:gridCol w:w="109"/>
        <w:gridCol w:w="109"/>
        <w:gridCol w:w="353"/>
        <w:gridCol w:w="353"/>
        <w:gridCol w:w="358"/>
        <w:gridCol w:w="109"/>
        <w:gridCol w:w="109"/>
        <w:gridCol w:w="109"/>
        <w:gridCol w:w="434"/>
        <w:gridCol w:w="434"/>
        <w:gridCol w:w="616"/>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1-475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39-0619790</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11270 West Park Place, Milwaukee, Wisconsin 53224</w:t>
      </w:r>
    </w:p>
    <w:p>
      <w:pPr>
        <w:pStyle w:val="TextBody"/>
        <w:bidi w:val="0"/>
        <w:spacing w:lineRule="auto" w:line="288" w:before="8"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 including zip code)</w:t>
      </w:r>
    </w:p>
    <w:p>
      <w:pPr>
        <w:pStyle w:val="TextBody"/>
        <w:bidi w:val="0"/>
        <w:spacing w:before="3" w:after="283"/>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(414) 359-4000</w:t>
      </w:r>
    </w:p>
    <w:p>
      <w:pPr>
        <w:pStyle w:val="TextBody"/>
        <w:bidi w:val="0"/>
        <w:spacing w:lineRule="auto" w:line="288" w:before="8" w:after="283"/>
        <w:jc w:val="center"/>
        <w:rPr>
          <w:rFonts w:ascii="Times New Roman;serif" w:hAnsi="Times New Roman;serif"/>
          <w:b/>
          <w:color w:val="000000"/>
          <w:sz w:val="14"/>
        </w:rPr>
      </w:pPr>
      <w:r>
        <w:rPr>
          <w:rFonts w:ascii="Times New Roman;serif" w:hAnsi="Times New Roman;serif"/>
          <w:b/>
          <w:color w:val="000000"/>
          <w:sz w:val="14"/>
        </w:rPr>
        <w:t>(Registrant’s telephone number)</w:t>
      </w:r>
    </w:p>
    <w:p>
      <w:pPr>
        <w:pStyle w:val="TextBody"/>
        <w:bidi w:val="0"/>
        <w:spacing w:lineRule="auto" w:line="288" w:before="120" w:after="120"/>
        <w:jc w:val="center"/>
        <w:rPr>
          <w:color w:val="000000"/>
        </w:rPr>
      </w:pPr>
      <w:r>
        <w:rPr>
          <w:color w:val="000000"/>
        </w:rPr>
        <w:t>——————————————</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80" w:after="1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176" w:type="dxa"/>
        <w:jc w:val="left"/>
        <w:tblInd w:w="0" w:type="dxa"/>
        <w:tblLayout w:type="fixed"/>
        <w:tblCellMar>
          <w:top w:w="28" w:type="dxa"/>
          <w:left w:w="28" w:type="dxa"/>
          <w:bottom w:w="28" w:type="dxa"/>
          <w:right w:w="28" w:type="dxa"/>
        </w:tblCellMar>
      </w:tblPr>
      <w:tblGrid>
        <w:gridCol w:w="1236"/>
        <w:gridCol w:w="1088"/>
        <w:gridCol w:w="1095"/>
        <w:gridCol w:w="109"/>
        <w:gridCol w:w="109"/>
        <w:gridCol w:w="109"/>
        <w:gridCol w:w="294"/>
        <w:gridCol w:w="294"/>
        <w:gridCol w:w="296"/>
        <w:gridCol w:w="109"/>
        <w:gridCol w:w="109"/>
        <w:gridCol w:w="109"/>
        <w:gridCol w:w="650"/>
        <w:gridCol w:w="650"/>
        <w:gridCol w:w="919"/>
      </w:tblGrid>
      <w:tr>
        <w:trPr/>
        <w:tc>
          <w:tcPr>
            <w:tcW w:w="123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w:t>
              <w:br/>
              <w:t>on which registered</w:t>
            </w:r>
          </w:p>
        </w:tc>
      </w:tr>
      <w:tr>
        <w:trPr/>
        <w:tc>
          <w:tcPr>
            <w:tcW w:w="3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 (par value $1.00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309" w:before="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before="0" w:after="0"/>
        <w:jc w:val="left"/>
        <w:rPr/>
      </w:pPr>
      <w:r>
        <w:rPr/>
      </w:r>
    </w:p>
    <w:p>
      <w:pPr>
        <w:pStyle w:val="TextBody"/>
        <w:bidi w:val="0"/>
        <w:spacing w:lineRule="auto" w:line="309" w:before="0" w:after="18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Item 5.02.</w:t>
      </w:r>
      <w:r>
        <w:rPr>
          <w:color w:val="000000"/>
        </w:rPr>
        <w:t xml:space="preserve"> </w:t>
      </w:r>
      <w:r>
        <w:rPr>
          <w:rFonts w:ascii="Times New Roman;serif" w:hAnsi="Times New Roman;serif"/>
          <w:b/>
          <w:color w:val="000000"/>
          <w:sz w:val="18"/>
        </w:rPr>
        <w:t>Departure of Directors or Certain Officers; Election of Directors; Appointment</w:t>
      </w:r>
    </w:p>
    <w:p>
      <w:pPr>
        <w:pStyle w:val="TextBody"/>
        <w:bidi w:val="0"/>
        <w:spacing w:lineRule="auto" w:line="288" w:before="0" w:after="0"/>
        <w:ind w:left="0" w:right="0" w:firstLine="23"/>
        <w:jc w:val="both"/>
        <w:rPr>
          <w:rFonts w:ascii="Times New Roman;serif" w:hAnsi="Times New Roman;serif"/>
          <w:b/>
          <w:color w:val="000000"/>
          <w:sz w:val="18"/>
        </w:rPr>
      </w:pPr>
      <w:r>
        <w:rPr>
          <w:rFonts w:ascii="Times New Roman;serif" w:hAnsi="Times New Roman;serif"/>
          <w:b/>
          <w:color w:val="000000"/>
          <w:sz w:val="18"/>
        </w:rPr>
        <w:t>of Certain Officers; Compensatory Arrangements of Certain Officers</w:t>
      </w:r>
    </w:p>
    <w:p>
      <w:pPr>
        <w:pStyle w:val="TextBody"/>
        <w:bidi w:val="0"/>
        <w:spacing w:before="0" w:after="0"/>
        <w:jc w:val="left"/>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18"/>
        </w:rPr>
        <w:t>On May 19, 2026, A. O. Smith Corporation (the “Company") disclosed that it has selected Carrie Anderson as its Executive Vice President and Chief Financial Officer effective July 1, 2026.</w:t>
      </w:r>
      <w:r>
        <w:rPr>
          <w:color w:val="000000"/>
        </w:rPr>
        <w:t xml:space="preserve"> </w:t>
      </w:r>
      <w:r>
        <w:rPr>
          <w:rFonts w:ascii="Times New Roman;serif" w:hAnsi="Times New Roman;serif"/>
          <w:b w:val="false"/>
          <w:color w:val="000000"/>
          <w:sz w:val="18"/>
        </w:rPr>
        <w:t>She will succeed Charles T. Lauber, who has decided to retire from the Company.</w:t>
      </w:r>
      <w:r>
        <w:rPr>
          <w:color w:val="000000"/>
        </w:rPr>
        <w:t xml:space="preserve"> </w:t>
      </w:r>
      <w:r>
        <w:rPr>
          <w:rFonts w:ascii="Times New Roman;serif" w:hAnsi="Times New Roman;serif"/>
          <w:b w:val="false"/>
          <w:color w:val="000000"/>
          <w:sz w:val="18"/>
        </w:rPr>
        <w:t>He will temporarily continue his employment with the Company after July 1, 2026, until his retirement to facilitate the transition.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18"/>
        </w:rPr>
      </w:pPr>
      <w:r>
        <w:rPr>
          <w:rFonts w:ascii="Times New Roman;serif" w:hAnsi="Times New Roman;serif"/>
          <w:b w:val="false"/>
          <w:color w:val="000000"/>
          <w:sz w:val="18"/>
        </w:rPr>
        <w:t>Ms. Anderson, age 57, brings extensive experience to the Company across global industrial, manufacturing and technology companies. She most recently served as executive vice president and chief financial officer of The Campbell’s Company, a packaged food and beverage company, from January 2023 to October 2025. Prior to Campbell’s, Ms. Anderson served as executive vice president and chief financial officer at Integra LifeSciences, a leading global medical technology company, from June 2019 to January 2023. She previously held senior finance leadership roles at Dover Corporation and Delphi Corporation. Anderson began her career as an engineer with General Motors.</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18"/>
        </w:rPr>
        <w:t>In connection with Ms. Anderson’s appointment as the Company’s Chief Financial Officer, the Company has agreed that Ms. Anderson will receive compensation, including an annual base salary, participation in the Company’s annual Executive Bonus Plan and annual equity awards under the Company’s Combined Incentive Compensation Plan, and be eligible to participate in the benefit plans and arrangements made available generally to the Company’s executive officers, including the Senior Leadership Severance Plan, all in a manner consistent in all material respects with the compensation that the Company provides to its executive officers. Such compensation and benefit plans and arrangements are described in the Company's Definitive Proxy Statement on Schedule 14A filed with the Securities and Exchange Commission on March 4, 2026. In addition, the Personnel and Compensation Committee of the Boa</w:t>
      </w:r>
      <w:r>
        <w:rPr>
          <w:rFonts w:ascii="Times New Roman;serif" w:hAnsi="Times New Roman;serif"/>
          <w:b w:val="false"/>
          <w:color w:val="000000"/>
          <w:sz w:val="24"/>
        </w:rPr>
        <w:t>r</w:t>
      </w:r>
      <w:r>
        <w:rPr>
          <w:rFonts w:ascii="Times New Roman;serif" w:hAnsi="Times New Roman;serif"/>
          <w:b w:val="false"/>
          <w:color w:val="000000"/>
          <w:sz w:val="18"/>
        </w:rPr>
        <w:t>d of Directors of the Company approved an award of restricted stock units to Ms. Anderson with a value of $1,500,000 as an incentive for her to join the Company, which will vest three years after the grant date.</w:t>
      </w:r>
      <w:r>
        <w:rPr>
          <w:color w:val="000000"/>
        </w:rPr>
        <w:t xml:space="preserve"> </w:t>
      </w:r>
      <w:r>
        <w:rPr>
          <w:rFonts w:ascii="Times New Roman;serif" w:hAnsi="Times New Roman;serif"/>
          <w:b w:val="false"/>
          <w:color w:val="000000"/>
          <w:sz w:val="18"/>
        </w:rPr>
        <w:t xml:space="preserve">She will also receive relocation assistance, including a special allowance of two months of salary to cover incidental expenses.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9.01        Financial Statements and Exhibits</w:t>
      </w:r>
    </w:p>
    <w:p>
      <w:pPr>
        <w:pStyle w:val="TextBody"/>
        <w:bidi w:val="0"/>
        <w:spacing w:lineRule="auto" w:line="288" w:before="138" w:after="283"/>
        <w:jc w:val="both"/>
        <w:rPr>
          <w:rFonts w:ascii="Times New Roman;serif" w:hAnsi="Times New Roman;serif"/>
          <w:b w:val="false"/>
          <w:color w:val="000000"/>
          <w:sz w:val="18"/>
        </w:rPr>
      </w:pPr>
      <w:r>
        <w:rPr>
          <w:rFonts w:ascii="Times New Roman;serif" w:hAnsi="Times New Roman;serif"/>
          <w:b w:val="false"/>
          <w:color w:val="000000"/>
          <w:sz w:val="18"/>
        </w:rPr>
        <w:t>The following exhibit is being filed herewith:</w:t>
      </w:r>
    </w:p>
    <w:p>
      <w:pPr>
        <w:pStyle w:val="TextBody"/>
        <w:bidi w:val="0"/>
        <w:spacing w:before="0" w:after="0"/>
        <w:jc w:val="both"/>
        <w:rPr/>
      </w:pPr>
      <w:r>
        <w:rPr/>
      </w:r>
    </w:p>
    <w:p>
      <w:pPr>
        <w:pStyle w:val="TextBody"/>
        <w:bidi w:val="0"/>
        <w:spacing w:lineRule="auto" w:line="288" w:before="138" w:after="283"/>
        <w:jc w:val="both"/>
        <w:rPr>
          <w:rFonts w:ascii="Times New Roman;serif" w:hAnsi="Times New Roman;serif"/>
          <w:b w:val="false"/>
          <w:color w:val="000000"/>
          <w:sz w:val="18"/>
        </w:rPr>
      </w:pPr>
      <w:r>
        <w:rPr>
          <w:rFonts w:ascii="Times New Roman;serif" w:hAnsi="Times New Roman;serif"/>
          <w:b w:val="false"/>
          <w:color w:val="000000"/>
          <w:sz w:val="18"/>
        </w:rPr>
        <w:t>104    Cover Page Interactive Data File (embedded with the Inline XBRL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30" w:after="283"/>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11" w:after="283"/>
        <w:jc w:val="left"/>
        <w:rPr/>
      </w:pPr>
      <w:r>
        <w:rPr/>
      </w:r>
    </w:p>
    <w:p>
      <w:pPr>
        <w:pStyle w:val="TextBody"/>
        <w:bidi w:val="0"/>
        <w:spacing w:lineRule="auto" w:line="309"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5" w:after="283"/>
        <w:jc w:val="left"/>
        <w:rPr/>
      </w:pPr>
      <w:r>
        <w:rPr/>
      </w:r>
    </w:p>
    <w:p>
      <w:pPr>
        <w:pStyle w:val="TextBody"/>
        <w:bidi w:val="0"/>
        <w:spacing w:before="0" w:after="0"/>
        <w:jc w:val="left"/>
        <w:rPr/>
      </w:pPr>
      <w:r>
        <w:rPr/>
      </w:r>
    </w:p>
    <w:tbl>
      <w:tblPr>
        <w:tblW w:w="9332" w:type="dxa"/>
        <w:jc w:val="left"/>
        <w:tblInd w:w="0" w:type="dxa"/>
        <w:tblLayout w:type="fixed"/>
        <w:tblCellMar>
          <w:top w:w="28" w:type="dxa"/>
          <w:left w:w="28" w:type="dxa"/>
          <w:bottom w:w="28" w:type="dxa"/>
          <w:right w:w="28" w:type="dxa"/>
        </w:tblCellMar>
      </w:tblPr>
      <w:tblGrid>
        <w:gridCol w:w="557"/>
        <w:gridCol w:w="492"/>
        <w:gridCol w:w="495"/>
        <w:gridCol w:w="109"/>
        <w:gridCol w:w="109"/>
        <w:gridCol w:w="109"/>
        <w:gridCol w:w="109"/>
        <w:gridCol w:w="109"/>
        <w:gridCol w:w="109"/>
        <w:gridCol w:w="109"/>
        <w:gridCol w:w="109"/>
        <w:gridCol w:w="109"/>
        <w:gridCol w:w="277"/>
        <w:gridCol w:w="277"/>
        <w:gridCol w:w="277"/>
        <w:gridCol w:w="277"/>
        <w:gridCol w:w="277"/>
        <w:gridCol w:w="277"/>
        <w:gridCol w:w="1489"/>
        <w:gridCol w:w="1489"/>
        <w:gridCol w:w="2167"/>
      </w:tblGrid>
      <w:tr>
        <w:trPr/>
        <w:tc>
          <w:tcPr>
            <w:tcW w:w="55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7"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 O. SMITH CORPORATION</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Date: May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/s/Paul J. Jones</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Paul J. Jones</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Senior Vice President, General Counsel and Chief Compliance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742</Words>
  <Characters>4225</Characters>
  <CharactersWithSpaces>4927</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